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439" w:type="dxa"/>
        <w:jc w:val="center"/>
        <w:tblLook w:val="04A0" w:firstRow="1" w:lastRow="0" w:firstColumn="1" w:lastColumn="0" w:noHBand="0" w:noVBand="1"/>
      </w:tblPr>
      <w:tblGrid>
        <w:gridCol w:w="4838"/>
        <w:gridCol w:w="3468"/>
        <w:gridCol w:w="1133"/>
      </w:tblGrid>
      <w:tr w:rsidR="006B2493" w:rsidTr="00965555">
        <w:trPr>
          <w:gridAfter w:val="1"/>
          <w:wAfter w:w="1133" w:type="dxa"/>
          <w:trHeight w:val="337"/>
          <w:jc w:val="center"/>
        </w:trPr>
        <w:tc>
          <w:tcPr>
            <w:tcW w:w="4838" w:type="dxa"/>
          </w:tcPr>
          <w:p w:rsidR="006B2493" w:rsidRDefault="006B2493" w:rsidP="00965555">
            <w:pPr>
              <w:pStyle w:val="a7"/>
              <w:bidi w:val="0"/>
              <w:jc w:val="center"/>
              <w:rPr>
                <w:rFonts w:cs="FrankRuehl"/>
                <w:noProof w:val="0"/>
                <w:sz w:val="28"/>
                <w:szCs w:val="28"/>
              </w:rPr>
            </w:pPr>
            <w:r>
              <w:rPr>
                <w:rFonts w:cs="FrankRuehl"/>
                <w:sz w:val="28"/>
                <w:szCs w:val="28"/>
              </w:rPr>
              <w:drawing>
                <wp:inline distT="0" distB="0" distL="0" distR="0" wp14:anchorId="76FFE14A" wp14:editId="5172D49C">
                  <wp:extent cx="372110" cy="467995"/>
                  <wp:effectExtent l="0" t="0" r="889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2110" cy="46799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622"/>
            </w:tblGrid>
            <w:tr w:rsidR="006B2493" w:rsidTr="00965555">
              <w:trPr>
                <w:trHeight w:val="418"/>
                <w:jc w:val="center"/>
              </w:trPr>
              <w:sdt>
                <w:sdtPr>
                  <w:rPr>
                    <w:rtl/>
                  </w:rPr>
                  <w:alias w:val="1174"/>
                  <w:tag w:val="1174"/>
                  <w:id w:val="-661701138"/>
                  <w:text/>
                </w:sdtPr>
                <w:sdtEndPr/>
                <w:sdtContent>
                  <w:tc>
                    <w:tcPr>
                      <w:tcW w:w="8721" w:type="dxa"/>
                      <w:hideMark/>
                    </w:tcPr>
                    <w:p w:rsidR="006B2493" w:rsidRDefault="006B2493" w:rsidP="00965555">
                      <w:pPr>
                        <w:pStyle w:val="a7"/>
                        <w:jc w:val="center"/>
                        <w:rPr>
                          <w:rtl/>
                        </w:rPr>
                      </w:pPr>
                      <w:r>
                        <w:rPr>
                          <w:rFonts w:ascii="Tahoma" w:hAnsi="Tahoma" w:cs="Tahoma"/>
                          <w:b/>
                          <w:bCs/>
                          <w:noProof w:val="0"/>
                          <w:color w:val="000080"/>
                          <w:rtl/>
                        </w:rPr>
                        <w:t>בית משפט לענייני משפחה בירושלים</w:t>
                      </w:r>
                    </w:p>
                  </w:tc>
                </w:sdtContent>
              </w:sdt>
            </w:tr>
          </w:tbl>
          <w:p w:rsidR="006B2493" w:rsidRDefault="006B2493" w:rsidP="00965555">
            <w:pPr>
              <w:rPr>
                <w:b/>
                <w:bCs/>
                <w:noProof w:val="0"/>
                <w:sz w:val="26"/>
                <w:szCs w:val="26"/>
              </w:rPr>
            </w:pPr>
          </w:p>
        </w:tc>
        <w:tc>
          <w:tcPr>
            <w:tcW w:w="3468" w:type="dxa"/>
          </w:tcPr>
          <w:p w:rsidR="006B2493" w:rsidRDefault="006B2493" w:rsidP="00965555">
            <w:pPr>
              <w:pStyle w:val="a7"/>
              <w:jc w:val="right"/>
              <w:rPr>
                <w:rtl/>
              </w:rPr>
            </w:pPr>
          </w:p>
        </w:tc>
      </w:tr>
      <w:tr w:rsidR="006B2493" w:rsidTr="00965555">
        <w:trPr>
          <w:trHeight w:val="337"/>
          <w:jc w:val="center"/>
        </w:trPr>
        <w:sdt>
          <w:sdtPr>
            <w:alias w:val="1456"/>
            <w:tag w:val="1456"/>
            <w:id w:val="952063389"/>
            <w:text/>
          </w:sdtPr>
          <w:sdtEndPr/>
          <w:sdtContent>
            <w:tc>
              <w:tcPr>
                <w:tcW w:w="9439" w:type="dxa"/>
                <w:gridSpan w:val="3"/>
                <w:hideMark/>
              </w:tcPr>
              <w:p w:rsidR="006B2493" w:rsidRDefault="006B2493" w:rsidP="00965555">
                <w:pPr>
                  <w:pStyle w:val="a7"/>
                  <w:bidi w:val="0"/>
                  <w:rPr>
                    <w:rtl/>
                  </w:rPr>
                </w:pPr>
                <w:r>
                  <w:rPr>
                    <w:b/>
                    <w:bCs/>
                    <w:noProof w:val="0"/>
                    <w:sz w:val="26"/>
                    <w:szCs w:val="26"/>
                    <w:rtl/>
                  </w:rPr>
                  <w:t>06 פברואר 2022</w:t>
                </w:r>
              </w:p>
            </w:tc>
          </w:sdtContent>
        </w:sdt>
      </w:tr>
    </w:tbl>
    <w:p w:rsidR="006B2493" w:rsidRDefault="006B2493" w:rsidP="006B2493">
      <w:pPr>
        <w:rPr>
          <w:rtl/>
        </w:rPr>
      </w:pPr>
    </w:p>
    <w:p w:rsidR="006B2493" w:rsidRDefault="00CF3E78" w:rsidP="006B2493">
      <w:pPr>
        <w:rPr>
          <w:b/>
          <w:bCs/>
          <w:noProof w:val="0"/>
          <w:sz w:val="26"/>
          <w:szCs w:val="26"/>
        </w:rPr>
      </w:pPr>
      <w:sdt>
        <w:sdtPr>
          <w:rPr>
            <w:rtl/>
          </w:rPr>
          <w:alias w:val="1170"/>
          <w:tag w:val="1170"/>
          <w:id w:val="-1240940633"/>
          <w:text w:multiLine="1"/>
        </w:sdtPr>
        <w:sdtEndPr/>
        <w:sdtContent>
          <w:r w:rsidR="006B2493">
            <w:rPr>
              <w:b/>
              <w:bCs/>
              <w:noProof w:val="0"/>
              <w:sz w:val="26"/>
              <w:szCs w:val="26"/>
              <w:rtl/>
            </w:rPr>
            <w:br/>
          </w:r>
          <w:proofErr w:type="spellStart"/>
          <w:r w:rsidR="006B2493">
            <w:rPr>
              <w:b/>
              <w:bCs/>
              <w:noProof w:val="0"/>
              <w:sz w:val="26"/>
              <w:szCs w:val="26"/>
              <w:rtl/>
            </w:rPr>
            <w:t>תלה"מ</w:t>
          </w:r>
          <w:proofErr w:type="spellEnd"/>
        </w:sdtContent>
      </w:sdt>
      <w:r w:rsidR="006B2493">
        <w:rPr>
          <w:b/>
          <w:bCs/>
          <w:noProof w:val="0"/>
          <w:sz w:val="26"/>
          <w:szCs w:val="26"/>
          <w:rtl/>
        </w:rPr>
        <w:t xml:space="preserve"> </w:t>
      </w:r>
      <w:bookmarkStart w:id="0" w:name="_GoBack"/>
      <w:sdt>
        <w:sdtPr>
          <w:rPr>
            <w:rtl/>
          </w:rPr>
          <w:alias w:val="1171"/>
          <w:tag w:val="1171"/>
          <w:id w:val="-1122917173"/>
          <w:text w:multiLine="1"/>
        </w:sdtPr>
        <w:sdtEndPr/>
        <w:sdtContent>
          <w:r w:rsidR="006B2493">
            <w:rPr>
              <w:b/>
              <w:bCs/>
              <w:noProof w:val="0"/>
              <w:sz w:val="26"/>
              <w:szCs w:val="26"/>
              <w:rtl/>
            </w:rPr>
            <w:t>29191-05-19</w:t>
          </w:r>
        </w:sdtContent>
      </w:sdt>
      <w:bookmarkEnd w:id="0"/>
      <w:r w:rsidR="006B2493">
        <w:rPr>
          <w:b/>
          <w:bCs/>
          <w:noProof w:val="0"/>
          <w:sz w:val="26"/>
          <w:szCs w:val="26"/>
          <w:rtl/>
        </w:rPr>
        <w:t xml:space="preserve"> </w:t>
      </w:r>
      <w:sdt>
        <w:sdtPr>
          <w:rPr>
            <w:rtl/>
          </w:rPr>
          <w:alias w:val="1172"/>
          <w:tag w:val="1172"/>
          <w:id w:val="1658414112"/>
          <w:text w:multiLine="1"/>
        </w:sdtPr>
        <w:sdtEndPr/>
        <w:sdtContent>
          <w:r w:rsidR="006B2493">
            <w:rPr>
              <w:rFonts w:hint="cs"/>
              <w:b/>
              <w:bCs/>
              <w:noProof w:val="0"/>
              <w:sz w:val="26"/>
              <w:szCs w:val="26"/>
              <w:rtl/>
            </w:rPr>
            <w:t>פלונית</w:t>
          </w:r>
          <w:r w:rsidR="006B2493">
            <w:rPr>
              <w:b/>
              <w:bCs/>
              <w:noProof w:val="0"/>
              <w:sz w:val="26"/>
              <w:szCs w:val="26"/>
              <w:rtl/>
            </w:rPr>
            <w:t xml:space="preserve"> נ' </w:t>
          </w:r>
          <w:r w:rsidR="006B2493">
            <w:rPr>
              <w:rFonts w:hint="cs"/>
              <w:b/>
              <w:bCs/>
              <w:noProof w:val="0"/>
              <w:sz w:val="26"/>
              <w:szCs w:val="26"/>
              <w:rtl/>
            </w:rPr>
            <w:t xml:space="preserve">אלמוני </w:t>
          </w:r>
        </w:sdtContent>
      </w:sdt>
    </w:p>
    <w:p w:rsidR="006B2493" w:rsidRDefault="006B2493" w:rsidP="006B2493">
      <w:pPr>
        <w:rPr>
          <w:rtl/>
        </w:rPr>
      </w:pPr>
    </w:p>
    <w:p w:rsidR="006B2493" w:rsidRDefault="006B2493" w:rsidP="006B2493">
      <w:pPr>
        <w:rPr>
          <w:rtl/>
        </w:rPr>
      </w:pPr>
    </w:p>
    <w:p w:rsidR="006B2493" w:rsidRDefault="006B2493" w:rsidP="006B2493">
      <w:pPr>
        <w:rPr>
          <w:rtl/>
        </w:rPr>
      </w:pPr>
    </w:p>
    <w:p w:rsidR="006B2493" w:rsidRDefault="006B2493" w:rsidP="006B2493">
      <w:pPr>
        <w:rPr>
          <w:rtl/>
        </w:rPr>
      </w:pPr>
    </w:p>
    <w:p w:rsidR="006B2493" w:rsidRDefault="006B2493" w:rsidP="006B2493"/>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8"/>
        <w:gridCol w:w="2424"/>
        <w:gridCol w:w="5428"/>
      </w:tblGrid>
      <w:tr w:rsidR="006B2493" w:rsidTr="00965555">
        <w:trPr>
          <w:jc w:val="center"/>
        </w:trPr>
        <w:tc>
          <w:tcPr>
            <w:tcW w:w="968" w:type="dxa"/>
            <w:hideMark/>
          </w:tcPr>
          <w:p w:rsidR="006B2493" w:rsidRDefault="006B2493" w:rsidP="00965555">
            <w:pPr>
              <w:spacing w:line="360" w:lineRule="auto"/>
              <w:ind w:left="360"/>
              <w:jc w:val="both"/>
              <w:rPr>
                <w:rFonts w:ascii="David" w:hAnsi="David"/>
                <w:b/>
                <w:bCs/>
              </w:rPr>
            </w:pPr>
            <w:r>
              <w:rPr>
                <w:rFonts w:ascii="David" w:hAnsi="David"/>
                <w:b/>
                <w:bCs/>
                <w:rtl/>
              </w:rPr>
              <w:t xml:space="preserve">בפני </w:t>
            </w:r>
          </w:p>
        </w:tc>
        <w:tc>
          <w:tcPr>
            <w:tcW w:w="7852" w:type="dxa"/>
            <w:gridSpan w:val="2"/>
          </w:tcPr>
          <w:p w:rsidR="006B2493" w:rsidRDefault="006B2493" w:rsidP="00965555">
            <w:pPr>
              <w:spacing w:line="360" w:lineRule="auto"/>
              <w:ind w:left="360"/>
              <w:jc w:val="left"/>
              <w:rPr>
                <w:rFonts w:ascii="David" w:hAnsi="David"/>
                <w:b/>
                <w:bCs/>
              </w:rPr>
            </w:pPr>
            <w:r>
              <w:rPr>
                <w:rFonts w:ascii="David" w:hAnsi="David"/>
                <w:b/>
                <w:bCs/>
                <w:rtl/>
              </w:rPr>
              <w:t>כב' ה</w:t>
            </w:r>
            <w:sdt>
              <w:sdtPr>
                <w:rPr>
                  <w:rFonts w:ascii="David" w:hAnsi="David"/>
                  <w:b/>
                  <w:bCs/>
                  <w:rtl/>
                </w:rPr>
                <w:alias w:val="1574"/>
                <w:tag w:val="1574"/>
                <w:id w:val="1747146877"/>
                <w:text w:multiLine="1"/>
              </w:sdtPr>
              <w:sdtEndPr/>
              <w:sdtContent>
                <w:r>
                  <w:rPr>
                    <w:rFonts w:ascii="David" w:hAnsi="David"/>
                    <w:b/>
                    <w:bCs/>
                    <w:rtl/>
                  </w:rPr>
                  <w:t>שופטת</w:t>
                </w:r>
              </w:sdtContent>
            </w:sdt>
            <w:r>
              <w:rPr>
                <w:rFonts w:ascii="David" w:hAnsi="David"/>
                <w:b/>
                <w:bCs/>
                <w:rtl/>
              </w:rPr>
              <w:t xml:space="preserve">  </w:t>
            </w:r>
            <w:sdt>
              <w:sdtPr>
                <w:rPr>
                  <w:rFonts w:ascii="David" w:hAnsi="David"/>
                  <w:b/>
                  <w:bCs/>
                  <w:rtl/>
                </w:rPr>
                <w:alias w:val="1573"/>
                <w:tag w:val="1573"/>
                <w:id w:val="320551012"/>
                <w:text w:multiLine="1"/>
              </w:sdtPr>
              <w:sdtEndPr/>
              <w:sdtContent>
                <w:r>
                  <w:rPr>
                    <w:rFonts w:ascii="David" w:hAnsi="David"/>
                    <w:b/>
                    <w:bCs/>
                    <w:rtl/>
                  </w:rPr>
                  <w:t>מיכל דבירי-רוזנבלט</w:t>
                </w:r>
              </w:sdtContent>
            </w:sdt>
          </w:p>
          <w:p w:rsidR="006B2493" w:rsidRDefault="006B2493" w:rsidP="00965555">
            <w:pPr>
              <w:spacing w:line="360" w:lineRule="auto"/>
              <w:rPr>
                <w:rFonts w:ascii="David" w:hAnsi="David"/>
                <w:highlight w:val="yellow"/>
                <w:rtl/>
              </w:rPr>
            </w:pPr>
          </w:p>
        </w:tc>
      </w:tr>
      <w:tr w:rsidR="006B2493" w:rsidTr="00965555">
        <w:trPr>
          <w:jc w:val="center"/>
        </w:trPr>
        <w:tc>
          <w:tcPr>
            <w:tcW w:w="3392" w:type="dxa"/>
            <w:gridSpan w:val="2"/>
          </w:tcPr>
          <w:p w:rsidR="006B2493" w:rsidRDefault="006B2493" w:rsidP="00965555">
            <w:pPr>
              <w:spacing w:line="360" w:lineRule="auto"/>
              <w:ind w:left="360"/>
              <w:rPr>
                <w:rFonts w:ascii="David" w:hAnsi="David"/>
                <w:b/>
                <w:bCs/>
                <w:noProof w:val="0"/>
              </w:rPr>
            </w:pPr>
          </w:p>
          <w:sdt>
            <w:sdtPr>
              <w:rPr>
                <w:rFonts w:ascii="David" w:hAnsi="David"/>
                <w:b/>
                <w:bCs/>
                <w:noProof w:val="0"/>
                <w:rtl/>
              </w:rPr>
              <w:alias w:val="1180"/>
              <w:tag w:val="1180"/>
              <w:id w:val="-1016538661"/>
              <w:text w:multiLine="1"/>
            </w:sdtPr>
            <w:sdtEndPr/>
            <w:sdtContent>
              <w:p w:rsidR="006B2493" w:rsidRDefault="006B2493" w:rsidP="00965555">
                <w:pPr>
                  <w:spacing w:line="360" w:lineRule="auto"/>
                  <w:jc w:val="left"/>
                  <w:rPr>
                    <w:rFonts w:ascii="David" w:hAnsi="David"/>
                    <w:b/>
                    <w:bCs/>
                    <w:noProof w:val="0"/>
                  </w:rPr>
                </w:pPr>
                <w:r>
                  <w:rPr>
                    <w:rFonts w:ascii="David" w:hAnsi="David"/>
                    <w:b/>
                    <w:bCs/>
                    <w:noProof w:val="0"/>
                    <w:rtl/>
                  </w:rPr>
                  <w:t>תובעת</w:t>
                </w:r>
              </w:p>
            </w:sdtContent>
          </w:sdt>
        </w:tc>
        <w:tc>
          <w:tcPr>
            <w:tcW w:w="5428" w:type="dxa"/>
          </w:tcPr>
          <w:p w:rsidR="006B2493" w:rsidRDefault="006B2493" w:rsidP="00965555">
            <w:pPr>
              <w:spacing w:line="360" w:lineRule="auto"/>
              <w:jc w:val="left"/>
              <w:rPr>
                <w:rFonts w:ascii="David" w:hAnsi="David"/>
                <w:b/>
                <w:bCs/>
                <w:noProof w:val="0"/>
                <w:rtl/>
              </w:rPr>
            </w:pPr>
          </w:p>
          <w:p w:rsidR="006B2493" w:rsidRDefault="006B2493" w:rsidP="00965555">
            <w:pPr>
              <w:spacing w:line="360" w:lineRule="auto"/>
              <w:jc w:val="left"/>
              <w:rPr>
                <w:rFonts w:ascii="David" w:hAnsi="David"/>
                <w:b/>
                <w:bCs/>
                <w:noProof w:val="0"/>
              </w:rPr>
            </w:pPr>
            <w:r>
              <w:rPr>
                <w:rFonts w:ascii="David" w:hAnsi="David" w:hint="cs"/>
                <w:b/>
                <w:bCs/>
                <w:noProof w:val="0"/>
                <w:rtl/>
              </w:rPr>
              <w:t>פלונית</w:t>
            </w:r>
          </w:p>
        </w:tc>
      </w:tr>
      <w:tr w:rsidR="006B2493" w:rsidTr="00965555">
        <w:trPr>
          <w:jc w:val="center"/>
        </w:trPr>
        <w:tc>
          <w:tcPr>
            <w:tcW w:w="3392" w:type="dxa"/>
            <w:gridSpan w:val="2"/>
          </w:tcPr>
          <w:p w:rsidR="006B2493" w:rsidRDefault="006B2493" w:rsidP="00965555">
            <w:pPr>
              <w:spacing w:line="360" w:lineRule="auto"/>
              <w:ind w:left="360"/>
              <w:jc w:val="left"/>
              <w:rPr>
                <w:rFonts w:ascii="David" w:hAnsi="David"/>
                <w:b/>
                <w:bCs/>
                <w:noProof w:val="0"/>
              </w:rPr>
            </w:pPr>
          </w:p>
          <w:p w:rsidR="006B2493" w:rsidRDefault="00CF3E78" w:rsidP="00965555">
            <w:pPr>
              <w:spacing w:line="360" w:lineRule="auto"/>
              <w:jc w:val="left"/>
              <w:rPr>
                <w:rFonts w:ascii="David" w:hAnsi="David"/>
                <w:b/>
                <w:bCs/>
                <w:noProof w:val="0"/>
                <w:rtl/>
              </w:rPr>
            </w:pPr>
            <w:sdt>
              <w:sdtPr>
                <w:rPr>
                  <w:rFonts w:ascii="David" w:hAnsi="David"/>
                  <w:b/>
                  <w:bCs/>
                  <w:noProof w:val="0"/>
                  <w:rtl/>
                </w:rPr>
                <w:alias w:val="1184"/>
                <w:tag w:val="1184"/>
                <w:id w:val="-35981914"/>
                <w:text w:multiLine="1"/>
              </w:sdtPr>
              <w:sdtEndPr/>
              <w:sdtContent>
                <w:r w:rsidR="006B2493">
                  <w:rPr>
                    <w:rFonts w:ascii="David" w:hAnsi="David"/>
                    <w:b/>
                    <w:bCs/>
                    <w:noProof w:val="0"/>
                    <w:rtl/>
                  </w:rPr>
                  <w:br/>
                  <w:t>נתבע</w:t>
                </w:r>
              </w:sdtContent>
            </w:sdt>
          </w:p>
        </w:tc>
        <w:tc>
          <w:tcPr>
            <w:tcW w:w="5428" w:type="dxa"/>
          </w:tcPr>
          <w:p w:rsidR="006B2493" w:rsidRDefault="006B2493" w:rsidP="00965555">
            <w:pPr>
              <w:spacing w:line="360" w:lineRule="auto"/>
              <w:jc w:val="left"/>
              <w:rPr>
                <w:rFonts w:ascii="David" w:hAnsi="David"/>
                <w:noProof w:val="0"/>
              </w:rPr>
            </w:pPr>
            <w:r>
              <w:rPr>
                <w:rFonts w:ascii="David" w:hAnsi="David"/>
                <w:noProof w:val="0"/>
                <w:rtl/>
              </w:rPr>
              <w:t xml:space="preserve"> ע"י ב"כ עו"ד גיתית </w:t>
            </w:r>
            <w:proofErr w:type="spellStart"/>
            <w:r>
              <w:rPr>
                <w:rFonts w:ascii="David" w:hAnsi="David"/>
                <w:noProof w:val="0"/>
                <w:rtl/>
              </w:rPr>
              <w:t>נחליאל</w:t>
            </w:r>
            <w:proofErr w:type="spellEnd"/>
          </w:p>
          <w:p w:rsidR="006B2493" w:rsidRDefault="006B2493" w:rsidP="00965555">
            <w:pPr>
              <w:spacing w:line="360" w:lineRule="auto"/>
              <w:ind w:left="360"/>
              <w:rPr>
                <w:rFonts w:ascii="David" w:hAnsi="David"/>
                <w:b/>
                <w:bCs/>
                <w:noProof w:val="0"/>
              </w:rPr>
            </w:pPr>
          </w:p>
          <w:p w:rsidR="006B2493" w:rsidRDefault="006B2493" w:rsidP="00965555">
            <w:pPr>
              <w:spacing w:line="360" w:lineRule="auto"/>
              <w:jc w:val="left"/>
              <w:rPr>
                <w:rFonts w:ascii="David" w:hAnsi="David"/>
                <w:b/>
                <w:bCs/>
                <w:noProof w:val="0"/>
                <w:rtl/>
              </w:rPr>
            </w:pPr>
            <w:r>
              <w:rPr>
                <w:rFonts w:ascii="David" w:hAnsi="David" w:hint="cs"/>
                <w:b/>
                <w:bCs/>
                <w:noProof w:val="0"/>
                <w:rtl/>
              </w:rPr>
              <w:t xml:space="preserve">אלמוני </w:t>
            </w:r>
          </w:p>
          <w:p w:rsidR="006B2493" w:rsidRDefault="006B2493" w:rsidP="00965555">
            <w:pPr>
              <w:spacing w:line="360" w:lineRule="auto"/>
              <w:jc w:val="left"/>
              <w:rPr>
                <w:rFonts w:ascii="David" w:hAnsi="David"/>
                <w:b/>
                <w:bCs/>
                <w:noProof w:val="0"/>
                <w:rtl/>
              </w:rPr>
            </w:pPr>
            <w:r>
              <w:rPr>
                <w:rFonts w:ascii="David" w:hAnsi="David"/>
                <w:rtl/>
              </w:rPr>
              <w:t>ע"י ב"כ עו"ד חנן כבירי ועו"ד אלי אבוטבול</w:t>
            </w:r>
          </w:p>
        </w:tc>
      </w:tr>
    </w:tbl>
    <w:p w:rsidR="006B2493" w:rsidRDefault="006B2493" w:rsidP="006B2493">
      <w:pPr>
        <w:spacing w:line="360" w:lineRule="auto"/>
        <w:rPr>
          <w:rFonts w:ascii="David" w:hAnsi="David"/>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B2493" w:rsidTr="00965555">
        <w:trPr>
          <w:jc w:val="center"/>
        </w:trPr>
        <w:tc>
          <w:tcPr>
            <w:tcW w:w="8820" w:type="dxa"/>
            <w:hideMark/>
          </w:tcPr>
          <w:p w:rsidR="006B2493" w:rsidRDefault="006B2493" w:rsidP="00965555">
            <w:pPr>
              <w:bidi w:val="0"/>
              <w:spacing w:line="360" w:lineRule="auto"/>
              <w:ind w:left="360"/>
              <w:jc w:val="center"/>
              <w:rPr>
                <w:rFonts w:ascii="David" w:hAnsi="David"/>
                <w:b/>
                <w:bCs/>
                <w:noProof w:val="0"/>
                <w:sz w:val="32"/>
                <w:szCs w:val="32"/>
                <w:u w:val="single"/>
              </w:rPr>
            </w:pPr>
            <w:r>
              <w:rPr>
                <w:rFonts w:ascii="David" w:hAnsi="David"/>
                <w:b/>
                <w:bCs/>
                <w:noProof w:val="0"/>
                <w:sz w:val="32"/>
                <w:szCs w:val="32"/>
                <w:u w:val="single"/>
                <w:rtl/>
              </w:rPr>
              <w:t>פסק דין</w:t>
            </w:r>
            <w:r>
              <w:rPr>
                <w:rFonts w:ascii="David" w:hAnsi="David"/>
                <w:b/>
                <w:bCs/>
                <w:noProof w:val="0"/>
                <w:sz w:val="32"/>
                <w:szCs w:val="32"/>
                <w:u w:val="single"/>
              </w:rPr>
              <w:t xml:space="preserve"> </w:t>
            </w:r>
          </w:p>
        </w:tc>
      </w:tr>
    </w:tbl>
    <w:p w:rsidR="006B2493" w:rsidRDefault="006B2493" w:rsidP="006B2493">
      <w:pPr>
        <w:spacing w:line="360" w:lineRule="auto"/>
        <w:jc w:val="both"/>
        <w:rPr>
          <w:rFonts w:ascii="David" w:hAnsi="David"/>
          <w:noProof w:val="0"/>
        </w:rPr>
      </w:pPr>
    </w:p>
    <w:p w:rsidR="006B2493" w:rsidRDefault="006B2493" w:rsidP="006B2493">
      <w:pPr>
        <w:spacing w:line="360" w:lineRule="auto"/>
        <w:jc w:val="both"/>
        <w:rPr>
          <w:rFonts w:ascii="David" w:hAnsi="David"/>
          <w:noProof w:val="0"/>
          <w:rtl/>
        </w:rPr>
      </w:pPr>
      <w:r>
        <w:rPr>
          <w:rFonts w:ascii="David" w:hAnsi="David"/>
          <w:noProof w:val="0"/>
          <w:rtl/>
        </w:rPr>
        <w:t xml:space="preserve">לפניי תביעת אישה לחייב בפיצויים את הנתבע, בעלה לשעבר, בגין סירובו המתמשך לתת לה גט ולהתגרש ממנה, אלא בחלוף כארבע שנים לאחר שהגישה לבית הדין הרבני תביעת גירושין. אקדים כבר עתה ואבהיר כי הגט כבר ניתן, והצדדים גרושים זה מזה מאז שנת 2017. </w:t>
      </w:r>
    </w:p>
    <w:p w:rsidR="006B2493" w:rsidRDefault="006B2493" w:rsidP="006B2493">
      <w:pPr>
        <w:pStyle w:val="a5"/>
        <w:spacing w:line="360" w:lineRule="auto"/>
        <w:jc w:val="both"/>
        <w:rPr>
          <w:rFonts w:ascii="David" w:hAnsi="David"/>
          <w:noProof w:val="0"/>
        </w:rPr>
      </w:pPr>
    </w:p>
    <w:p w:rsidR="006B2493" w:rsidRDefault="006B2493" w:rsidP="006B2493">
      <w:pPr>
        <w:spacing w:line="360" w:lineRule="auto"/>
        <w:jc w:val="both"/>
        <w:rPr>
          <w:rFonts w:ascii="David" w:hAnsi="David"/>
          <w:noProof w:val="0"/>
        </w:rPr>
      </w:pPr>
      <w:r>
        <w:rPr>
          <w:rFonts w:ascii="David" w:hAnsi="David"/>
          <w:noProof w:val="0"/>
          <w:rtl/>
        </w:rPr>
        <w:t xml:space="preserve">להלן יכונו הצדדים האישה ו- האיש.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מרבית העובדות הצריכות לענייננו למעשה אינן שנויות במחלוקת.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הצדדים נישאו </w:t>
      </w:r>
      <w:proofErr w:type="spellStart"/>
      <w:r>
        <w:rPr>
          <w:rFonts w:ascii="David" w:hAnsi="David"/>
          <w:noProof w:val="0"/>
          <w:rtl/>
        </w:rPr>
        <w:t>זל"ז</w:t>
      </w:r>
      <w:proofErr w:type="spellEnd"/>
      <w:r>
        <w:rPr>
          <w:rFonts w:ascii="David" w:hAnsi="David"/>
          <w:noProof w:val="0"/>
          <w:rtl/>
        </w:rPr>
        <w:t xml:space="preserve"> כדמו"י בשנת 2001, ומנישואיהם נולדו להם 5 ילדים. </w:t>
      </w:r>
    </w:p>
    <w:p w:rsidR="006B2493" w:rsidRDefault="006B2493" w:rsidP="006B2493">
      <w:pPr>
        <w:pStyle w:val="a5"/>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ההליכים המשפטיים בין הצדדים החלו כבר בשנת 2013 ומאז נמשכים, לסירוגין, עד היום, בנושאי מחלוקת שונים, הן בפני בית המשפט והן בפני בית הדין הרבני.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ביום 13.06.2013 האישה עזבה את בית המגורים המשותף </w:t>
      </w:r>
      <w:r>
        <w:rPr>
          <w:rFonts w:ascii="David" w:hAnsi="David" w:hint="cs"/>
          <w:noProof w:val="0"/>
          <w:rtl/>
        </w:rPr>
        <w:t xml:space="preserve">בעיר </w:t>
      </w:r>
      <w:r>
        <w:rPr>
          <w:rFonts w:ascii="David" w:hAnsi="David" w:hint="cs"/>
          <w:noProof w:val="0"/>
        </w:rPr>
        <w:t>X</w:t>
      </w:r>
      <w:r>
        <w:rPr>
          <w:rFonts w:ascii="David" w:hAnsi="David"/>
          <w:noProof w:val="0"/>
          <w:rtl/>
        </w:rPr>
        <w:t xml:space="preserve">, ועברה לגור </w:t>
      </w:r>
      <w:r>
        <w:rPr>
          <w:rFonts w:ascii="David" w:hAnsi="David" w:hint="cs"/>
          <w:noProof w:val="0"/>
          <w:rtl/>
        </w:rPr>
        <w:t>ב</w:t>
      </w:r>
      <w:r>
        <w:rPr>
          <w:rFonts w:ascii="David" w:hAnsi="David" w:hint="cs"/>
          <w:noProof w:val="0"/>
        </w:rPr>
        <w:t>Y</w:t>
      </w:r>
      <w:r>
        <w:rPr>
          <w:rFonts w:ascii="David" w:hAnsi="David"/>
          <w:noProof w:val="0"/>
          <w:rtl/>
        </w:rPr>
        <w:t xml:space="preserve"> מאותו מועד ואילך שוב לא שבו הצדדים לגור יחד תחת קורת גג אחת.  </w:t>
      </w:r>
    </w:p>
    <w:p w:rsidR="006B2493" w:rsidRDefault="006B2493" w:rsidP="006B2493">
      <w:pPr>
        <w:spacing w:line="360" w:lineRule="auto"/>
        <w:ind w:left="720"/>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ביום 20.6.2013  הגישה האישה לבית המשפט </w:t>
      </w:r>
      <w:proofErr w:type="spellStart"/>
      <w:r>
        <w:rPr>
          <w:rFonts w:ascii="David" w:hAnsi="David"/>
          <w:noProof w:val="0"/>
          <w:rtl/>
        </w:rPr>
        <w:t>לעניני</w:t>
      </w:r>
      <w:proofErr w:type="spellEnd"/>
      <w:r>
        <w:rPr>
          <w:rFonts w:ascii="David" w:hAnsi="David"/>
          <w:noProof w:val="0"/>
          <w:rtl/>
        </w:rPr>
        <w:t xml:space="preserve"> משפחה בקשה לצו הגנה כנגד האיש והביעה רצון לסיים את הנישואים.</w:t>
      </w: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lastRenderedPageBreak/>
        <w:t>ביום 30.09.2013 האישה הגישה</w:t>
      </w:r>
      <w:r>
        <w:rPr>
          <w:rFonts w:ascii="David" w:hAnsi="David" w:hint="cs"/>
          <w:noProof w:val="0"/>
        </w:rPr>
        <w:t xml:space="preserve"> </w:t>
      </w:r>
      <w:r>
        <w:rPr>
          <w:rFonts w:ascii="David" w:hAnsi="David"/>
          <w:noProof w:val="0"/>
          <w:rtl/>
        </w:rPr>
        <w:t xml:space="preserve">תביעת גירושין מטעמה לבית הדין הרבני האזורי בירושלים, ובסמוך ועוד קודם לכך האיש הגיש מטעמו תביעה לשלום-בית לבית הדין הרבני.  </w:t>
      </w:r>
    </w:p>
    <w:p w:rsidR="006B2493" w:rsidRDefault="006B2493" w:rsidP="006B2493">
      <w:pPr>
        <w:spacing w:line="360" w:lineRule="auto"/>
        <w:ind w:left="720"/>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בחודש 9.2013 האישה הגישה תביעה למזונות ובחודש 11.2013 הגישה תביעה לחלוקת הרכוש. שתי התביעות הוגשו לבית המשפט לענייני משפחה.</w:t>
      </w:r>
    </w:p>
    <w:p w:rsidR="006B2493" w:rsidRDefault="006B2493" w:rsidP="006B2493">
      <w:pPr>
        <w:pStyle w:val="a5"/>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15.8.2014 בקשה נוספת מטעם האישה לצו הגנה כנגד האיש, ההליכים לוו בהמשך אף בהגשת תלונות למשטרה כנגד האיש בגין איומים והטרדות לכאורה.</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24.3.2014 דיון בפני בית הדין הרבני. בית הדין מינה מומחה לבחון סיכוי לשלום בית. בהמשך הוגשה חוות דעתו של המומחה אשר העריך כי אין סיכוי לשלום בית ("סיכוי אפסי").</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17.2.2015 – פסק דין של בית הדין הרבני שבו הומלץ לצדדים להתגרש זה מזה בהקדם, ואם לא יגיעו להסכמה על כך בתוך 30 ימים, "ישקול בית הדין להפוך את ההמלצה לחיוב הבעל בגירושין".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1.2.2016 – בית הדין הרבני הגדול דחה פה אחד ערעור האיש על פסק הדין הנ"ל הממליץ על גירושי הצדדים, </w:t>
      </w:r>
      <w:proofErr w:type="spellStart"/>
      <w:r>
        <w:rPr>
          <w:rFonts w:ascii="David" w:hAnsi="David"/>
          <w:noProof w:val="0"/>
          <w:rtl/>
        </w:rPr>
        <w:t>בקובעו</w:t>
      </w:r>
      <w:proofErr w:type="spellEnd"/>
      <w:r>
        <w:rPr>
          <w:rFonts w:ascii="David" w:hAnsi="David"/>
          <w:noProof w:val="0"/>
          <w:rtl/>
        </w:rPr>
        <w:t>: "הקרע בין הצדדים הוא עמוק וקוטבי, ואין שום סיכוי להשיב את שלום הבית ביניהם... בית הדין קורא לבעל לראות נכוחה את המציאות ובית הדין ממליץ לבעל לגרש את אשתו...".</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30.4.2017 – פסק דין של בית הדין הרבני האזורי המחייב את האיש לתת גט לאישה "בנדון </w:t>
      </w:r>
      <w:proofErr w:type="spellStart"/>
      <w:r>
        <w:rPr>
          <w:rFonts w:ascii="David" w:hAnsi="David"/>
          <w:noProof w:val="0"/>
          <w:rtl/>
        </w:rPr>
        <w:t>דידן</w:t>
      </w:r>
      <w:proofErr w:type="spellEnd"/>
      <w:r>
        <w:rPr>
          <w:rFonts w:ascii="David" w:hAnsi="David"/>
          <w:noProof w:val="0"/>
          <w:rtl/>
        </w:rPr>
        <w:t xml:space="preserve"> </w:t>
      </w:r>
      <w:proofErr w:type="spellStart"/>
      <w:r>
        <w:rPr>
          <w:rFonts w:ascii="David" w:hAnsi="David"/>
          <w:noProof w:val="0"/>
          <w:rtl/>
        </w:rPr>
        <w:t>המאיסות</w:t>
      </w:r>
      <w:proofErr w:type="spellEnd"/>
      <w:r>
        <w:rPr>
          <w:rFonts w:ascii="David" w:hAnsi="David"/>
          <w:noProof w:val="0"/>
          <w:rtl/>
        </w:rPr>
        <w:t xml:space="preserve"> מבוררת, שהרי התנהגותו האגרסיבית בבית הדין, וצורת דיבורו והתייחסותו לאישה מעידים לטובת האישה, למרות שבפניו אומר שאינו רואה כל סיבה לעזיבתה אותו. כך גם עולה בבירור מחוות דעתו של ד"ר </w:t>
      </w:r>
      <w:r>
        <w:rPr>
          <w:rFonts w:ascii="David" w:hAnsi="David" w:hint="cs"/>
          <w:noProof w:val="0"/>
        </w:rPr>
        <w:t>Z</w:t>
      </w:r>
      <w:r>
        <w:rPr>
          <w:rFonts w:ascii="David" w:hAnsi="David"/>
          <w:noProof w:val="0"/>
          <w:rtl/>
        </w:rPr>
        <w:t xml:space="preserve"> שאבחן את שני בני הזוג....</w:t>
      </w:r>
    </w:p>
    <w:p w:rsidR="006B2493" w:rsidRDefault="006B2493" w:rsidP="006B2493">
      <w:pPr>
        <w:pStyle w:val="a5"/>
        <w:spacing w:line="360" w:lineRule="auto"/>
        <w:jc w:val="both"/>
        <w:rPr>
          <w:rFonts w:ascii="David" w:hAnsi="David"/>
          <w:noProof w:val="0"/>
          <w:rtl/>
        </w:rPr>
      </w:pPr>
      <w:r>
        <w:rPr>
          <w:rFonts w:ascii="David" w:hAnsi="David"/>
          <w:noProof w:val="0"/>
          <w:rtl/>
        </w:rPr>
        <w:t xml:space="preserve">היות שיש פירוד ממושך, וגם טענת </w:t>
      </w:r>
      <w:proofErr w:type="spellStart"/>
      <w:r>
        <w:rPr>
          <w:rFonts w:ascii="David" w:hAnsi="David"/>
          <w:noProof w:val="0"/>
          <w:rtl/>
        </w:rPr>
        <w:t>מאיסות</w:t>
      </w:r>
      <w:proofErr w:type="spellEnd"/>
      <w:r>
        <w:rPr>
          <w:rFonts w:ascii="David" w:hAnsi="David"/>
          <w:noProof w:val="0"/>
          <w:rtl/>
        </w:rPr>
        <w:t xml:space="preserve"> מבוררת, בית הדין פוסק שהבעל חייב לגרש את אשתו..."</w:t>
      </w:r>
    </w:p>
    <w:p w:rsidR="006B2493" w:rsidRDefault="006B2493" w:rsidP="006B2493">
      <w:pPr>
        <w:pStyle w:val="a5"/>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6.7.2017 – בני הזוג התגרשו בבית הדין הרבני.</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תביעה זו הוגשה ביום 14.5.2019, כחודשיים לאחר שהאיש הגיש תביעה כספית ע"ס 1.5 מיליון ₪ כנגד האישה ונתבעות נוספות, תביעה שנדונה בנפרד.  </w:t>
      </w:r>
    </w:p>
    <w:p w:rsidR="006B2493" w:rsidRDefault="006B2493" w:rsidP="006B2493">
      <w:pPr>
        <w:spacing w:line="360" w:lineRule="auto"/>
        <w:jc w:val="both"/>
        <w:rPr>
          <w:rFonts w:ascii="David" w:hAnsi="David"/>
          <w:noProof w:val="0"/>
          <w:rtl/>
        </w:rPr>
      </w:pPr>
    </w:p>
    <w:p w:rsidR="006B2493" w:rsidRDefault="006B2493" w:rsidP="006B2493">
      <w:pPr>
        <w:spacing w:line="360" w:lineRule="auto"/>
        <w:jc w:val="both"/>
        <w:rPr>
          <w:rFonts w:ascii="David" w:hAnsi="David"/>
          <w:noProof w:val="0"/>
          <w:rtl/>
        </w:rPr>
      </w:pPr>
    </w:p>
    <w:p w:rsidR="006B1227" w:rsidRDefault="006B1227" w:rsidP="006B2493">
      <w:pPr>
        <w:spacing w:line="360" w:lineRule="auto"/>
        <w:jc w:val="both"/>
        <w:rPr>
          <w:rFonts w:ascii="David" w:hAnsi="David"/>
          <w:noProof w:val="0"/>
          <w:rtl/>
        </w:rPr>
      </w:pPr>
    </w:p>
    <w:p w:rsidR="006B1227" w:rsidRDefault="006B1227" w:rsidP="006B2493">
      <w:pPr>
        <w:spacing w:line="360" w:lineRule="auto"/>
        <w:jc w:val="both"/>
        <w:rPr>
          <w:rFonts w:ascii="David" w:hAnsi="David"/>
          <w:noProof w:val="0"/>
          <w:rtl/>
        </w:rPr>
      </w:pPr>
    </w:p>
    <w:p w:rsidR="006B1227" w:rsidRDefault="006B1227" w:rsidP="006B2493">
      <w:pPr>
        <w:spacing w:line="360" w:lineRule="auto"/>
        <w:jc w:val="both"/>
        <w:rPr>
          <w:rFonts w:ascii="David" w:hAnsi="David"/>
          <w:noProof w:val="0"/>
          <w:rtl/>
        </w:rPr>
      </w:pPr>
    </w:p>
    <w:p w:rsidR="006B2493" w:rsidRDefault="006B2493" w:rsidP="006B2493">
      <w:pPr>
        <w:spacing w:line="360" w:lineRule="auto"/>
        <w:jc w:val="both"/>
        <w:rPr>
          <w:rFonts w:ascii="David" w:hAnsi="David"/>
          <w:noProof w:val="0"/>
          <w:rtl/>
        </w:rPr>
      </w:pPr>
    </w:p>
    <w:p w:rsidR="006B2493" w:rsidRDefault="006B2493" w:rsidP="006B2493">
      <w:pPr>
        <w:pStyle w:val="a5"/>
        <w:spacing w:line="360" w:lineRule="auto"/>
        <w:jc w:val="both"/>
        <w:rPr>
          <w:rFonts w:ascii="David" w:hAnsi="David"/>
          <w:b/>
          <w:bCs/>
          <w:noProof w:val="0"/>
          <w:u w:val="single"/>
          <w:rtl/>
        </w:rPr>
      </w:pPr>
      <w:r>
        <w:rPr>
          <w:rFonts w:ascii="David" w:hAnsi="David"/>
          <w:b/>
          <w:bCs/>
          <w:noProof w:val="0"/>
          <w:u w:val="single"/>
          <w:rtl/>
        </w:rPr>
        <w:lastRenderedPageBreak/>
        <w:t>עיקר טענות האישה</w:t>
      </w:r>
    </w:p>
    <w:p w:rsidR="006B2493" w:rsidRDefault="006B2493" w:rsidP="006B2493">
      <w:pPr>
        <w:pStyle w:val="a5"/>
        <w:spacing w:line="360" w:lineRule="auto"/>
        <w:jc w:val="both"/>
        <w:rPr>
          <w:rFonts w:ascii="David" w:hAnsi="David"/>
          <w:b/>
          <w:bCs/>
          <w:noProof w:val="0"/>
          <w:u w:val="single"/>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האישה עזבה את בית המגורים המשותף בשנת 2013, נוכח מצוקה גדולה שחוותה בנישואיה לאיש, שנבעה מאיומיו, מהתנהגותו האגרסיבית והמתעללת כלפיה וכלפיה הילדים, תוך פגיעה בחירותה ורצון לשלוט בה. מאז שעזבה לא חדלה להשמיע את רצונה הברור והמפורש להתגרש מהאיש ולהשתחרר מקשר הנישואין, ואף התנהגה באופן התואם להצהרותיה ולרצונה: מלבד עזיבת הבית, גם הגישה בקשות לצווי הגנה כנגד האיש, תביעת גירושין, תביעה לחלוקת רכוש, ובדיונים רבים מאוד הביעה במפורש את רצונה הנחוש להתגרש. מכאן שהאיש ידע על רצון האישה להתגרש מאז חודש 6.2013 ואילך. </w:t>
      </w:r>
    </w:p>
    <w:p w:rsidR="006B2493" w:rsidRDefault="006B2493" w:rsidP="006B2493">
      <w:pPr>
        <w:pStyle w:val="a5"/>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למרות זאת האיש סרב לשחרר את האישה מכבלי הנישואין ולתת לה גטה, תוך משיכה והארכה מטעמו של ההליכים בפני בית הדין הרבני בחוסר תום לב, ותוך היאחזות בטענת "שלום בית" הגם שהיה ברור שאין כל סיכוי לשלום בית, והטענה לא </w:t>
      </w:r>
      <w:proofErr w:type="spellStart"/>
      <w:r>
        <w:rPr>
          <w:rFonts w:ascii="David" w:hAnsi="David"/>
          <w:noProof w:val="0"/>
          <w:rtl/>
        </w:rPr>
        <w:t>היתה</w:t>
      </w:r>
      <w:proofErr w:type="spellEnd"/>
      <w:r>
        <w:rPr>
          <w:rFonts w:ascii="David" w:hAnsi="David"/>
          <w:noProof w:val="0"/>
          <w:rtl/>
        </w:rPr>
        <w:t xml:space="preserve"> כנה אלא נבעה ממניעים של כעס ורצון להשיג יתרונות כלכליים. על רצונה להתגרש האיש אף שמע ממכרים משותפים של הצדדים, חלקם העידו בהליך, ואף משופטי בית המשפט </w:t>
      </w:r>
      <w:proofErr w:type="spellStart"/>
      <w:r>
        <w:rPr>
          <w:rFonts w:ascii="David" w:hAnsi="David"/>
          <w:noProof w:val="0"/>
          <w:rtl/>
        </w:rPr>
        <w:t>לעניני</w:t>
      </w:r>
      <w:proofErr w:type="spellEnd"/>
      <w:r>
        <w:rPr>
          <w:rFonts w:ascii="David" w:hAnsi="David"/>
          <w:noProof w:val="0"/>
          <w:rtl/>
        </w:rPr>
        <w:t xml:space="preserve"> משפחה והמחוזי בהליכים השונים. גם הפסיכולוג שטיפל באיש באותה עת העיד כי התרשם שהאיש מבין שלא יוכל לכפות על האישה שלום בית (סעיף 26 לסיכומי האישה בכתב).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האישה הגישה לבית הדין הרבני לא פחות מארבע בקשות לחיוב האיש במתן גט.</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רק בחלוף 4 שנים של התעמרות מצד האיש באישה, נאות האיש, סוף סוף,  לתת לה את גטה.</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בנסיבות המתוארות עולה ההתנהגות של האיש כדי עוולת רשלנות, שגרמה לה נזקים נפשיים, עגמת נפש, צער והשפלה, פגיעה בחירותה וביכולתה לנהל את חייה כרצונה, פגעה ביכולתה לפתוח דף חדש ולשקם את חייה, ואף גרמה לה נזקים כלכליים בשל ניהול הליכים משפטיים ארוכים, והפסד ימי עבודה רבים. אדם סביר ונבון היה נותן לאישה את גטה כבר עם הגשת תביעת הגירושין, ומשעה שהזוג כבר חי בנפרד באותה עת.</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בנוסף אי מתן גט לאחר שבית הדין הרבני חייב את האיש במתן גט הינה עוולה של הפרת חובה חקוקה בהתייחס לסעיף 287 לחוק העונשין. כמו כן, סירוב </w:t>
      </w:r>
      <w:proofErr w:type="spellStart"/>
      <w:r>
        <w:rPr>
          <w:rFonts w:ascii="David" w:hAnsi="David"/>
          <w:noProof w:val="0"/>
          <w:rtl/>
        </w:rPr>
        <w:t>ליתן</w:t>
      </w:r>
      <w:proofErr w:type="spellEnd"/>
      <w:r>
        <w:rPr>
          <w:rFonts w:ascii="David" w:hAnsi="David"/>
          <w:noProof w:val="0"/>
          <w:rtl/>
        </w:rPr>
        <w:t xml:space="preserve"> גט הוא הפרה של חוק יסוד: כבוד האדם וחירותו, ומהווה הפרה של חובות תום הלב במסגרת החוזה המשפחתי.</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Pr>
      </w:pPr>
      <w:r>
        <w:rPr>
          <w:rFonts w:ascii="David" w:hAnsi="David"/>
          <w:noProof w:val="0"/>
          <w:rtl/>
        </w:rPr>
        <w:t xml:space="preserve">בנסיבות המקרה יש לחייב בפיצויים בגין התקופה שתחילתה בהגשת התביעה לגירושין, היות שכבר אז היה ברור שאין עתיד לנישואים. </w:t>
      </w:r>
    </w:p>
    <w:p w:rsidR="006B1227" w:rsidRPr="006B1227" w:rsidRDefault="006B1227" w:rsidP="006B1227">
      <w:pPr>
        <w:pStyle w:val="a5"/>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נזקי האישה עומדים ע"ס של 270,000 ₪, במועד הגשת התביעה: 50,000 ₪ מתוכם בגין נזקי ממון בשל ניהול ההליכים המשפטיים, ועוד 220,000 ₪ בגין נזק שאינו ממוני, בשיעור </w:t>
      </w:r>
      <w:r>
        <w:rPr>
          <w:rFonts w:ascii="David" w:hAnsi="David"/>
          <w:noProof w:val="0"/>
          <w:rtl/>
        </w:rPr>
        <w:lastRenderedPageBreak/>
        <w:t>של 5000 ₪ לחודש החל מחודש 10.2013 – חודש לאחר הגשת תביעת הגירושין – ועד סידור הגט ב- 7.2017.</w:t>
      </w:r>
    </w:p>
    <w:p w:rsidR="006B2493" w:rsidRDefault="006B2493" w:rsidP="006B2493">
      <w:pPr>
        <w:spacing w:line="360" w:lineRule="auto"/>
        <w:ind w:firstLine="60"/>
        <w:jc w:val="both"/>
        <w:rPr>
          <w:rFonts w:ascii="David" w:hAnsi="David"/>
          <w:noProof w:val="0"/>
          <w:rtl/>
        </w:rPr>
      </w:pPr>
    </w:p>
    <w:p w:rsidR="006B2493" w:rsidRDefault="006B2493" w:rsidP="006B2493">
      <w:pPr>
        <w:pStyle w:val="a5"/>
        <w:spacing w:line="360" w:lineRule="auto"/>
        <w:jc w:val="both"/>
        <w:rPr>
          <w:rFonts w:ascii="David" w:hAnsi="David"/>
          <w:b/>
          <w:bCs/>
          <w:noProof w:val="0"/>
          <w:u w:val="single"/>
          <w:rtl/>
        </w:rPr>
      </w:pPr>
    </w:p>
    <w:p w:rsidR="006B2493" w:rsidRDefault="006B2493" w:rsidP="006B2493">
      <w:pPr>
        <w:pStyle w:val="a5"/>
        <w:spacing w:line="360" w:lineRule="auto"/>
        <w:jc w:val="both"/>
        <w:rPr>
          <w:rFonts w:ascii="David" w:hAnsi="David"/>
          <w:b/>
          <w:bCs/>
          <w:noProof w:val="0"/>
          <w:u w:val="single"/>
          <w:rtl/>
        </w:rPr>
      </w:pPr>
      <w:r>
        <w:rPr>
          <w:rFonts w:ascii="David" w:hAnsi="David"/>
          <w:b/>
          <w:bCs/>
          <w:noProof w:val="0"/>
          <w:u w:val="single"/>
          <w:rtl/>
        </w:rPr>
        <w:t>עיקר טענות האיש</w:t>
      </w:r>
    </w:p>
    <w:p w:rsidR="006B2493" w:rsidRDefault="006B2493" w:rsidP="006B2493">
      <w:pPr>
        <w:spacing w:line="360" w:lineRule="auto"/>
        <w:jc w:val="both"/>
        <w:rPr>
          <w:rFonts w:ascii="David" w:hAnsi="David"/>
          <w:b/>
          <w:bCs/>
          <w:noProof w:val="0"/>
          <w:u w:val="single"/>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הגשת התביעה נובעת מרצון של האישה להלך אימים על האיש, בעקבות הגשת כתב התביעה מטעמו כנגד האישה חודשיים קודם לכך, ורק על מנת להפעיל עליו לחץ לסלק את תביעתו כנגדה. </w:t>
      </w:r>
    </w:p>
    <w:p w:rsidR="006B2493" w:rsidRDefault="006B2493" w:rsidP="006B2493">
      <w:pPr>
        <w:pStyle w:val="a5"/>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התיק בבית הדין הרבני התנהל לפי יומנו של בית הדין, והאיש לא ביקש כל דחיות אלא פעם אחת בלבד ומטעם מוצדק. על כן, התארכות ההליך לא </w:t>
      </w:r>
      <w:proofErr w:type="spellStart"/>
      <w:r>
        <w:rPr>
          <w:rFonts w:ascii="David" w:hAnsi="David"/>
          <w:noProof w:val="0"/>
          <w:rtl/>
        </w:rPr>
        <w:t>היתה</w:t>
      </w:r>
      <w:proofErr w:type="spellEnd"/>
      <w:r>
        <w:rPr>
          <w:rFonts w:ascii="David" w:hAnsi="David"/>
          <w:noProof w:val="0"/>
          <w:rtl/>
        </w:rPr>
        <w:t xml:space="preserve"> תלויה בו כי אם בעומס שהיה בבית הדין הרבני.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בית הדין רבני סבר שיש מקום לשלום בית ואין עילה לגירושין, ולא בכדי שלח את הצדדים לניסיונות שלום בית.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פסק הדין הממליץ על מתן גט ניתן ברוב דעות, </w:t>
      </w:r>
      <w:proofErr w:type="spellStart"/>
      <w:r>
        <w:rPr>
          <w:rFonts w:ascii="David" w:hAnsi="David"/>
          <w:noProof w:val="0"/>
          <w:rtl/>
        </w:rPr>
        <w:t>והיתה</w:t>
      </w:r>
      <w:proofErr w:type="spellEnd"/>
      <w:r>
        <w:rPr>
          <w:rFonts w:ascii="David" w:hAnsi="David"/>
          <w:noProof w:val="0"/>
          <w:rtl/>
        </w:rPr>
        <w:t xml:space="preserve"> דעת מיעוט לפיה האישה מורדת, מכאן שהפסיקה לא </w:t>
      </w:r>
      <w:proofErr w:type="spellStart"/>
      <w:r>
        <w:rPr>
          <w:rFonts w:ascii="David" w:hAnsi="David"/>
          <w:noProof w:val="0"/>
          <w:rtl/>
        </w:rPr>
        <w:t>היתה</w:t>
      </w:r>
      <w:proofErr w:type="spellEnd"/>
      <w:r>
        <w:rPr>
          <w:rFonts w:ascii="David" w:hAnsi="David"/>
          <w:noProof w:val="0"/>
          <w:rtl/>
        </w:rPr>
        <w:t xml:space="preserve"> חד-משמעית, ויתכן שלבסוף בית הדין היה מאמץ את דעת המיעוט. יתר על כן, המלצה של בית הדין איננה מטילה חובה על האיש לגרש את אשתו.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לאחר שבית הדין הרבני נתן פסק דין לחיוב בגט, וערכאת הערעור לא קיבלה את טענתו, אזי האיש פעל כמצוות בית הדין ונתן גט. רק לבית הדין סמכות לקבוע כי האיש הוא "סרבן גט", ובמקרה הנדון – בית הדין לא קבע בשום שלב שהאיש הינו "סרבן גט", ודי בכך כדי לשלול כל פיצוי מהאישה. בכדי שיוכרז סרבן גט היה בית הדין צריך </w:t>
      </w:r>
      <w:proofErr w:type="spellStart"/>
      <w:r>
        <w:rPr>
          <w:rFonts w:ascii="David" w:hAnsi="David"/>
          <w:noProof w:val="0"/>
          <w:rtl/>
        </w:rPr>
        <w:t>להכריזו</w:t>
      </w:r>
      <w:proofErr w:type="spellEnd"/>
      <w:r>
        <w:rPr>
          <w:rFonts w:ascii="David" w:hAnsi="David"/>
          <w:noProof w:val="0"/>
          <w:rtl/>
        </w:rPr>
        <w:t xml:space="preserve"> ככזה לפחות שלושה חודשים לאחר שיטיל עליו סנקציות שונות וללא תועלת בהן. כזאת לא אירע במקרה הנדון, הדברים לא הגיעו לשלב זה, לא הוטלו כל סנקציות על האיש והוא כאמור לא הוכרז על ידי בית הדין הרבני כסרבן גט.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העובדה שהאיש פתח בהליכי ערעור על החלטות בית הדין הרבני האזורי, אינה מלמדת אלא על שימוש חוקי בזכויותיו המשפטיות, וכיוון שסבר שבית הדין האזורי שוגה.</w:t>
      </w:r>
    </w:p>
    <w:p w:rsidR="006B2493" w:rsidRDefault="006B2493" w:rsidP="006B2493">
      <w:pPr>
        <w:pStyle w:val="a5"/>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האיש חפץ בכל ליבו בשלום-בית על מנת להימנע מפירוק התא המשפחתי ולמען טובת ילדיו, זו </w:t>
      </w:r>
      <w:proofErr w:type="spellStart"/>
      <w:r>
        <w:rPr>
          <w:rFonts w:ascii="David" w:hAnsi="David"/>
          <w:noProof w:val="0"/>
          <w:rtl/>
        </w:rPr>
        <w:t>היתה</w:t>
      </w:r>
      <w:proofErr w:type="spellEnd"/>
      <w:r>
        <w:rPr>
          <w:rFonts w:ascii="David" w:hAnsi="David"/>
          <w:noProof w:val="0"/>
          <w:rtl/>
        </w:rPr>
        <w:t xml:space="preserve"> מטרתו הכנה ומתוך אמונה שיצליח והדבר אפשרי לטובת המשפחה. לא היה כל ניסיון </w:t>
      </w:r>
      <w:proofErr w:type="spellStart"/>
      <w:r>
        <w:rPr>
          <w:rFonts w:ascii="David" w:hAnsi="David"/>
          <w:noProof w:val="0"/>
          <w:rtl/>
        </w:rPr>
        <w:t>מצידו</w:t>
      </w:r>
      <w:proofErr w:type="spellEnd"/>
      <w:r>
        <w:rPr>
          <w:rFonts w:ascii="David" w:hAnsi="David"/>
          <w:noProof w:val="0"/>
          <w:rtl/>
        </w:rPr>
        <w:t xml:space="preserve"> להציב תנאים כלכליים או סחטנות, והטענה לא הוכחה. אף לא הוכחו שלל טענות האישה בנוגע להתעללות או אלימות, וכל תלונותיה למשטרה נסגרו.  </w:t>
      </w:r>
    </w:p>
    <w:p w:rsidR="006B2493" w:rsidRDefault="006B2493" w:rsidP="006B2493">
      <w:pPr>
        <w:pStyle w:val="a5"/>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לא נגרם לאישה נזק כלשהו מהתנהגות האיש, והאישה לא נישאה לבן זוג אחר עד היום, גם לאחר שניתן לה גט. </w:t>
      </w:r>
    </w:p>
    <w:p w:rsidR="006B2493" w:rsidRDefault="006B2493" w:rsidP="006B2493">
      <w:pPr>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lastRenderedPageBreak/>
        <w:t>מאחר שהאיש לא הוכרז סרבן גט, אזי ממילא יש לדחות את כתב התביעה ההזוי (כך כלשון ב"כ האיש, סעיף 90 לסיכומי האיש), על כל העוולות השונות שנכללו בגדרו.</w:t>
      </w:r>
    </w:p>
    <w:p w:rsidR="006B2493" w:rsidRDefault="006B2493" w:rsidP="006B2493">
      <w:pPr>
        <w:pStyle w:val="a5"/>
        <w:spacing w:line="360" w:lineRule="auto"/>
        <w:jc w:val="both"/>
        <w:rPr>
          <w:rFonts w:ascii="David" w:hAnsi="David"/>
          <w:noProof w:val="0"/>
        </w:rPr>
      </w:pPr>
    </w:p>
    <w:p w:rsidR="006B2493" w:rsidRDefault="006B2493" w:rsidP="006B2493">
      <w:pPr>
        <w:pStyle w:val="a5"/>
        <w:spacing w:line="360" w:lineRule="auto"/>
        <w:jc w:val="both"/>
        <w:rPr>
          <w:rFonts w:ascii="David" w:hAnsi="David"/>
          <w:b/>
          <w:bCs/>
          <w:noProof w:val="0"/>
          <w:u w:val="single"/>
        </w:rPr>
      </w:pPr>
      <w:r>
        <w:rPr>
          <w:rFonts w:ascii="David" w:hAnsi="David"/>
          <w:b/>
          <w:bCs/>
          <w:noProof w:val="0"/>
          <w:u w:val="single"/>
          <w:rtl/>
        </w:rPr>
        <w:t>עדויות שהובאו בפניי</w:t>
      </w:r>
    </w:p>
    <w:p w:rsidR="006B2493" w:rsidRDefault="006B2493" w:rsidP="006B2493">
      <w:pPr>
        <w:pStyle w:val="a5"/>
        <w:spacing w:line="360" w:lineRule="auto"/>
        <w:jc w:val="both"/>
        <w:rPr>
          <w:rFonts w:ascii="David" w:hAnsi="David"/>
          <w:b/>
          <w:bCs/>
          <w:noProof w:val="0"/>
          <w:u w:val="single"/>
          <w:rtl/>
        </w:rPr>
      </w:pPr>
    </w:p>
    <w:p w:rsidR="006B2493" w:rsidRDefault="006B2493" w:rsidP="006B1227">
      <w:pPr>
        <w:pStyle w:val="a5"/>
        <w:numPr>
          <w:ilvl w:val="0"/>
          <w:numId w:val="1"/>
        </w:numPr>
        <w:spacing w:line="360" w:lineRule="auto"/>
        <w:jc w:val="both"/>
        <w:rPr>
          <w:rFonts w:ascii="David" w:hAnsi="David"/>
          <w:noProof w:val="0"/>
        </w:rPr>
      </w:pPr>
      <w:r>
        <w:rPr>
          <w:rFonts w:ascii="David" w:hAnsi="David"/>
          <w:noProof w:val="0"/>
          <w:rtl/>
        </w:rPr>
        <w:t xml:space="preserve">מלבד עדויותיהם של הצדדים עצמם, הונחו לפני גם עדויותיהם של ארבעה עדים – מטעם האישה מר </w:t>
      </w:r>
      <w:r w:rsidR="006B1227">
        <w:rPr>
          <w:rFonts w:ascii="David" w:hAnsi="David"/>
          <w:noProof w:val="0"/>
        </w:rPr>
        <w:t>x</w:t>
      </w:r>
      <w:r>
        <w:rPr>
          <w:rFonts w:ascii="David" w:hAnsi="David"/>
          <w:noProof w:val="0"/>
          <w:rtl/>
        </w:rPr>
        <w:t xml:space="preserve"> (בעל של חברה של האישה אשר העיד על </w:t>
      </w:r>
      <w:proofErr w:type="spellStart"/>
      <w:r>
        <w:rPr>
          <w:rFonts w:ascii="David" w:hAnsi="David"/>
          <w:noProof w:val="0"/>
          <w:rtl/>
        </w:rPr>
        <w:t>נסיונות</w:t>
      </w:r>
      <w:proofErr w:type="spellEnd"/>
      <w:r>
        <w:rPr>
          <w:rFonts w:ascii="David" w:hAnsi="David"/>
          <w:noProof w:val="0"/>
          <w:rtl/>
        </w:rPr>
        <w:t xml:space="preserve"> האיש לשכנע את האישה לעשות ניסיונות לשלום בית, וסירובה מנגד, עדות הנוגעת לשנים 2013-2015) , ומר </w:t>
      </w:r>
      <w:r w:rsidR="006B1227">
        <w:rPr>
          <w:rFonts w:ascii="David" w:hAnsi="David"/>
          <w:noProof w:val="0"/>
        </w:rPr>
        <w:t>x</w:t>
      </w:r>
      <w:r w:rsidR="006B1227">
        <w:rPr>
          <w:rFonts w:ascii="David" w:hAnsi="David"/>
          <w:noProof w:val="0"/>
          <w:rtl/>
        </w:rPr>
        <w:t xml:space="preserve"> </w:t>
      </w:r>
      <w:r>
        <w:rPr>
          <w:rFonts w:ascii="David" w:hAnsi="David"/>
          <w:noProof w:val="0"/>
          <w:rtl/>
        </w:rPr>
        <w:t xml:space="preserve">גיסה של האישה (האיש ויתר על חקירתו) אשר בתצהירו אף הוא העיד על ניסיונות האיש לשכנע את האישה לשוב לשלום בית וסירובה הנחרץ. מטעם האיש העיד מר </w:t>
      </w:r>
      <w:r w:rsidR="006B1227">
        <w:rPr>
          <w:rFonts w:ascii="David" w:hAnsi="David"/>
          <w:noProof w:val="0"/>
        </w:rPr>
        <w:t>x</w:t>
      </w:r>
      <w:r>
        <w:rPr>
          <w:rFonts w:ascii="David" w:hAnsi="David"/>
          <w:noProof w:val="0"/>
          <w:rtl/>
        </w:rPr>
        <w:t xml:space="preserve">, פסיכולוג קליני אשר טיפל באיש, והעיד על התהליך שעבר האיש נוכח רצונה של האישה בגירושין, תחושותיו כתוצאה מהניתוק מילדיו והנטל הכלכלי ועוד; וכן העיד מר </w:t>
      </w:r>
      <w:r w:rsidR="006B1227">
        <w:rPr>
          <w:rFonts w:ascii="David" w:hAnsi="David"/>
          <w:noProof w:val="0"/>
        </w:rPr>
        <w:t xml:space="preserve">x </w:t>
      </w:r>
      <w:r w:rsidR="006B1227">
        <w:rPr>
          <w:rFonts w:ascii="David" w:hAnsi="David" w:hint="cs"/>
          <w:noProof w:val="0"/>
          <w:rtl/>
        </w:rPr>
        <w:t xml:space="preserve"> </w:t>
      </w:r>
      <w:r>
        <w:rPr>
          <w:rFonts w:ascii="David" w:hAnsi="David"/>
          <w:noProof w:val="0"/>
          <w:rtl/>
        </w:rPr>
        <w:t xml:space="preserve">שהאיש פנה אליו על מנת שיגשר בין הצדדים, אולם לא הצליח להגיע לכדי טיפול בצדדים נוכח סירובה העיקש של האישה.  </w:t>
      </w:r>
    </w:p>
    <w:p w:rsidR="006B2493" w:rsidRDefault="006B2493" w:rsidP="006B2493">
      <w:pPr>
        <w:pStyle w:val="a5"/>
        <w:spacing w:line="360" w:lineRule="auto"/>
        <w:jc w:val="both"/>
        <w:rPr>
          <w:rFonts w:ascii="David" w:hAnsi="David"/>
          <w:noProof w:val="0"/>
        </w:rPr>
      </w:pPr>
    </w:p>
    <w:p w:rsidR="006B2493" w:rsidRDefault="006B2493" w:rsidP="006B2493">
      <w:pPr>
        <w:pStyle w:val="a5"/>
        <w:spacing w:line="360" w:lineRule="auto"/>
        <w:jc w:val="both"/>
        <w:rPr>
          <w:rFonts w:ascii="David" w:hAnsi="David"/>
          <w:b/>
          <w:bCs/>
          <w:noProof w:val="0"/>
          <w:u w:val="single"/>
          <w:rtl/>
        </w:rPr>
      </w:pPr>
      <w:r>
        <w:rPr>
          <w:rFonts w:ascii="David" w:hAnsi="David"/>
          <w:b/>
          <w:bCs/>
          <w:noProof w:val="0"/>
          <w:u w:val="single"/>
          <w:rtl/>
        </w:rPr>
        <w:t>דיון והכרעה</w:t>
      </w:r>
    </w:p>
    <w:p w:rsidR="006B2493" w:rsidRDefault="006B2493" w:rsidP="006B2493">
      <w:pPr>
        <w:pStyle w:val="a5"/>
        <w:spacing w:line="360" w:lineRule="auto"/>
        <w:jc w:val="both"/>
        <w:rPr>
          <w:rFonts w:ascii="David" w:hAnsi="David"/>
          <w:b/>
          <w:bCs/>
          <w:noProof w:val="0"/>
          <w:u w:val="single"/>
          <w:rtl/>
        </w:rPr>
      </w:pPr>
    </w:p>
    <w:p w:rsidR="006B2493" w:rsidRDefault="006B2493" w:rsidP="006B2493">
      <w:pPr>
        <w:pStyle w:val="a5"/>
        <w:numPr>
          <w:ilvl w:val="0"/>
          <w:numId w:val="1"/>
        </w:numPr>
        <w:spacing w:line="360" w:lineRule="auto"/>
        <w:jc w:val="both"/>
        <w:rPr>
          <w:rFonts w:ascii="David" w:hAnsi="David"/>
          <w:noProof w:val="0"/>
          <w:rtl/>
        </w:rPr>
      </w:pPr>
      <w:proofErr w:type="spellStart"/>
      <w:r>
        <w:rPr>
          <w:rFonts w:ascii="David" w:hAnsi="David"/>
          <w:noProof w:val="0"/>
          <w:rtl/>
        </w:rPr>
        <w:t>בבע"מ</w:t>
      </w:r>
      <w:proofErr w:type="spellEnd"/>
      <w:r>
        <w:rPr>
          <w:rFonts w:ascii="David" w:hAnsi="David"/>
          <w:noProof w:val="0"/>
          <w:rtl/>
        </w:rPr>
        <w:t xml:space="preserve"> 997/15 קרא בית המשפט העליון </w:t>
      </w:r>
      <w:r>
        <w:rPr>
          <w:rFonts w:ascii="David" w:hAnsi="David"/>
          <w:rtl/>
        </w:rPr>
        <w:t>"טוב ייעשה המחוקק אם יידרש לסוגיה של פיצויים בגין סרבנות גט, המעוררת כאמור שורה של סוגיות מורכבות ורגישות."</w:t>
      </w:r>
      <w:r>
        <w:rPr>
          <w:rFonts w:ascii="David" w:hAnsi="David"/>
          <w:noProof w:val="0"/>
          <w:rtl/>
        </w:rPr>
        <w:t xml:space="preserve"> סוגיה זו הנוגעת להיבטים האזרחיים-הנזיקיים שעשויים לצמוח מסירוב לתת גט טרם הוסדרה על ידי המחוקק, יש לצפות ולקוות כי כך ייעשה, אך עד בוא העת ההיא, תיבחן השאלה המונחת לפתחנו בהליך זה לאורה של פסיקה ענפה שניתנה עד כה בבתי המשפט למשפחה ובתי המשפט המחוזיים מזה כעשרים שנים (ור' למשל </w:t>
      </w:r>
      <w:proofErr w:type="spellStart"/>
      <w:r>
        <w:rPr>
          <w:rFonts w:ascii="David" w:hAnsi="David"/>
          <w:noProof w:val="0"/>
          <w:rtl/>
        </w:rPr>
        <w:t>תמ"ש</w:t>
      </w:r>
      <w:proofErr w:type="spellEnd"/>
      <w:r>
        <w:rPr>
          <w:rFonts w:ascii="David" w:hAnsi="David"/>
          <w:noProof w:val="0"/>
          <w:rtl/>
        </w:rPr>
        <w:t xml:space="preserve"> (י-ם) 19270/03 מיום 21.2.2004 מאת כב' השופט מנחם הכהן), ואשר מכירה בהשלכות שיש במישור האזרחי לסירובו של אדם, גבר או אישה, לתת לבן הזוג השני גט ומונע בכך שחרורו של בן הזוג מקשר הנישואין, וזאת לצד ההיבטים ההלכתיים שיש להתנהגות זו שמקומם להתברר בבית הדין הרבני.  </w:t>
      </w:r>
    </w:p>
    <w:p w:rsidR="006B2493" w:rsidRDefault="006B2493" w:rsidP="006B2493">
      <w:pPr>
        <w:pStyle w:val="a5"/>
        <w:spacing w:line="360" w:lineRule="auto"/>
        <w:jc w:val="both"/>
        <w:rPr>
          <w:rFonts w:ascii="David" w:hAnsi="David"/>
          <w:noProof w:val="0"/>
        </w:rPr>
      </w:pPr>
      <w:r>
        <w:rPr>
          <w:rFonts w:ascii="David" w:hAnsi="David"/>
          <w:noProof w:val="0"/>
          <w:rtl/>
        </w:rPr>
        <w:t xml:space="preserve">אציין כי בית המשפט העליון טרם נדרש לסוגיה זו במישרין. </w:t>
      </w:r>
    </w:p>
    <w:p w:rsidR="006B2493" w:rsidRDefault="006B2493" w:rsidP="006B2493">
      <w:pPr>
        <w:pStyle w:val="a5"/>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פסק הדין המקיף האחרון בנושא ניתן לפני כשנה (12.2020) בבית המשפט המחוזי מרכז </w:t>
      </w:r>
      <w:proofErr w:type="spellStart"/>
      <w:r>
        <w:rPr>
          <w:rFonts w:ascii="David" w:hAnsi="David"/>
          <w:noProof w:val="0"/>
          <w:rtl/>
        </w:rPr>
        <w:t>עמ"ש</w:t>
      </w:r>
      <w:proofErr w:type="spellEnd"/>
      <w:r>
        <w:rPr>
          <w:rFonts w:ascii="David" w:hAnsi="David"/>
          <w:noProof w:val="0"/>
          <w:rtl/>
        </w:rPr>
        <w:t xml:space="preserve"> 63059-02-20 ואף הוא ינחה ערכאה זו בעת מתן הכרעתו בתיק דנן. בפסק הדין סוקר כב' השופט ויצמן את הרקע המשפטי שעל בסיסו נבנתה וצמחה הפסיקה שמקנה פיצויים בגין סירוב לתת גט, אין לי אלא להפנות לפסק הדין המקיף הנזכר, ולהביא בפסק דיני זה את עיקרי הדברים מתוכו בלבד.  </w:t>
      </w:r>
    </w:p>
    <w:p w:rsidR="006B2493" w:rsidRDefault="006B2493" w:rsidP="006B2493">
      <w:pPr>
        <w:pStyle w:val="a5"/>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שתי מלכויות עם נקודות השקה זו לזו – זו ההלכתית, שעניינה גירושין וסידור הגט בהיבטים הדתיים המצויים תחת סמכותו הבלעדית של בית הדין הרבני – מזה; וזו האזרחית, שעניינה עוולות נזיקיות המקנות לנפגע זכאות לפיצויי מקום שבו מעוול אדם כנגדו באופן העולה כדי עוולה הקבועה בדין - מזה. לאורך השנים מוקדו תביעות לפיצויים </w:t>
      </w:r>
      <w:r>
        <w:rPr>
          <w:rFonts w:ascii="David" w:hAnsi="David"/>
          <w:noProof w:val="0"/>
          <w:rtl/>
        </w:rPr>
        <w:lastRenderedPageBreak/>
        <w:t xml:space="preserve">בגין  סירוב לתת גט בשתי עוולות מרכזיות – העיקרית שבהן עוולת הרשלנות, עוולת מסגרת שנמצא כי ראויה היא לקלוט לתוכה התנהגות של פגיעה כתוצאה מסירוב לתת גט: בגין נזק שנגרם כתוצאה מהפרת חובות זהירות שנוצרו מקשר הנישואין כלפי הנפגע, ותוך סטייה מאמת המידה הראויה לאדם סביר באותן נסיבות; וככל שמדובר אף בהפרת הוראת שיפוטית של בית הדין הרבני המורה לסרבן לתת גט – אף כעוולה של הפרת חובה חקוקה. </w:t>
      </w:r>
    </w:p>
    <w:p w:rsidR="006B2493" w:rsidRDefault="006B2493" w:rsidP="006B2493">
      <w:pPr>
        <w:pStyle w:val="a5"/>
        <w:spacing w:line="360" w:lineRule="auto"/>
        <w:jc w:val="both"/>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מורכבות נוצרת כתוצאה מאותן נקודות השקה בין הדין הדתי לבין זה האזרחי ביחס לשאלות של סירוב במתן גט, במספר היבטים, ולרבות בשאלה האם יש קשר הכרחי בין פסק דין לגירושין שיצא תחת ידיו של בית הדין הרבני לבין זכאות לפיצוי בגין הגשת תביעה אזרחית כאמור, והפסיקה שניתנה עד היום מתחלקת לכדי שלוש גישות עיקריות ביחס לשאלה זו: זו הקושרת בין התביעה האזרחית לבין פסק דין של בית הדין הרבני המחייב או אף כופה גירושין; זו המסתפקת בפסק דין רבני הממליץ על גירושין; וזו שאינה קושרת כלל בין ההליך האזרחי להליך בבית הדין הרבני, ובוחן את ההתנהגות ב"משקפיים" אזרחיות בלבד, המונחות על פי אמות מידה של סבירות ותום לב.</w:t>
      </w:r>
    </w:p>
    <w:p w:rsidR="006B2493" w:rsidRDefault="006B2493" w:rsidP="006B2493">
      <w:pPr>
        <w:pStyle w:val="a5"/>
        <w:rPr>
          <w:rFonts w:ascii="David" w:hAnsi="David"/>
          <w:noProof w:val="0"/>
        </w:rPr>
      </w:pPr>
    </w:p>
    <w:p w:rsidR="006B2493" w:rsidRDefault="006B2493" w:rsidP="006B2493">
      <w:pPr>
        <w:pStyle w:val="a5"/>
        <w:numPr>
          <w:ilvl w:val="0"/>
          <w:numId w:val="1"/>
        </w:numPr>
        <w:spacing w:line="360" w:lineRule="auto"/>
        <w:jc w:val="both"/>
        <w:rPr>
          <w:rFonts w:ascii="David" w:hAnsi="David"/>
          <w:rtl/>
        </w:rPr>
      </w:pPr>
      <w:r>
        <w:rPr>
          <w:rFonts w:ascii="David" w:hAnsi="David"/>
          <w:noProof w:val="0"/>
          <w:rtl/>
        </w:rPr>
        <w:t>לאחר סקירה והנמקה, הגיע בית המשפט המחוזי, בפסק הדין הנזכר, למסקנה כי ראוי שככלל לא תנותק לחלוטין העוולה האזרחית מן ההליך בבית הדין הרבני, ויש מקום ללכת בדרך שבה יש כיבוד הערכאה הדתית וקביעותיה בענייני הגירושין, אך זאת לצד ההכרה בכך שהעוולה האזרחית הינה עצמאית. כתוצאה מכך: "</w:t>
      </w:r>
      <w:r>
        <w:rPr>
          <w:rFonts w:ascii="David" w:hAnsi="David"/>
          <w:b/>
          <w:bCs/>
          <w:rtl/>
        </w:rPr>
        <w:t xml:space="preserve">לטעמי ראוי  כלל כי לפסיקה המכירה בעוולת רשלנות בשל סרבנות גט תעמוד כעוגן תומך פסיקת בית הדין הרבני המורה לסרבן, </w:t>
      </w:r>
      <w:r>
        <w:rPr>
          <w:rFonts w:ascii="David" w:hAnsi="David"/>
          <w:b/>
          <w:bCs/>
          <w:u w:val="single"/>
          <w:rtl/>
        </w:rPr>
        <w:t>בלשון כזו או אחרת</w:t>
      </w:r>
      <w:r>
        <w:rPr>
          <w:rFonts w:ascii="David" w:hAnsi="David"/>
          <w:b/>
          <w:bCs/>
          <w:rtl/>
        </w:rPr>
        <w:t>, לתת גט לבן זוגו, שאם לא תאמר כן עקרת את ליבו של הדין החל בהלכות הגירושין</w:t>
      </w:r>
      <w:r>
        <w:rPr>
          <w:rFonts w:ascii="David" w:hAnsi="David"/>
          <w:rtl/>
        </w:rPr>
        <w:t>.</w:t>
      </w:r>
      <w:r>
        <w:rPr>
          <w:rFonts w:ascii="David" w:hAnsi="David"/>
          <w:noProof w:val="0"/>
          <w:rtl/>
        </w:rPr>
        <w:t xml:space="preserve">" [ההדגשה שלי – </w:t>
      </w:r>
      <w:proofErr w:type="spellStart"/>
      <w:r>
        <w:rPr>
          <w:rFonts w:ascii="David" w:hAnsi="David"/>
          <w:noProof w:val="0"/>
          <w:rtl/>
        </w:rPr>
        <w:t>מ.ד.ר</w:t>
      </w:r>
      <w:proofErr w:type="spellEnd"/>
      <w:r>
        <w:rPr>
          <w:rFonts w:ascii="David" w:hAnsi="David"/>
          <w:noProof w:val="0"/>
          <w:rtl/>
        </w:rPr>
        <w:t>] ולצד הכלל,  החריג לכלל: "</w:t>
      </w:r>
      <w:r>
        <w:rPr>
          <w:rFonts w:ascii="David" w:hAnsi="David"/>
          <w:b/>
          <w:bCs/>
          <w:rtl/>
        </w:rPr>
        <w:t>הגם שבמקרים חריגים, יכול ובית המשפט ימצא לנכון להורות בניגוד לאותה הוראה של בית הדין, וזאת כאמור, במקרים בהם קיימת "זעקה" בנושא הסרבנות, שאין להתעלם הימנה</w:t>
      </w:r>
      <w:r>
        <w:rPr>
          <w:rFonts w:ascii="David" w:hAnsi="David"/>
          <w:rtl/>
        </w:rPr>
        <w:t xml:space="preserve">". "פסק דין לגירושין בלשון כזו או אחרת" – סבורתני שמשמעו  גם פסק דין שבו בית הדין ממליץ לצדדים להתגרש זה מזה, ולא בהכרח פסק דין המחייב או כופה בסנקציות לשם מתן גירושין, וכל עוד קיים קשר בין ההליך האזרחי לכך שבית הדין הרבני מצא, בהחלטה או פסק דין שיצאו מטעמו, שיש להפסיק את קשר הנישואין גם בפן ההלכתי. </w:t>
      </w:r>
    </w:p>
    <w:p w:rsidR="006B2493" w:rsidRDefault="006B2493" w:rsidP="006B2493">
      <w:pPr>
        <w:pStyle w:val="a5"/>
        <w:spacing w:line="360" w:lineRule="auto"/>
        <w:jc w:val="both"/>
        <w:rPr>
          <w:rFonts w:ascii="David" w:hAnsi="David"/>
        </w:rPr>
      </w:pPr>
    </w:p>
    <w:p w:rsidR="006B2493" w:rsidRDefault="006B2493" w:rsidP="006B2493">
      <w:pPr>
        <w:spacing w:line="360" w:lineRule="auto"/>
        <w:ind w:left="720"/>
        <w:jc w:val="both"/>
        <w:rPr>
          <w:rFonts w:ascii="David" w:hAnsi="David"/>
          <w:noProof w:val="0"/>
          <w:rtl/>
        </w:rPr>
      </w:pPr>
      <w:r>
        <w:rPr>
          <w:rFonts w:ascii="David" w:hAnsi="David"/>
          <w:rtl/>
        </w:rPr>
        <w:t xml:space="preserve">להשלמת </w:t>
      </w:r>
      <w:r>
        <w:rPr>
          <w:rFonts w:ascii="David" w:hAnsi="David"/>
          <w:noProof w:val="0"/>
          <w:rtl/>
        </w:rPr>
        <w:t xml:space="preserve">התמונה אציין, כי באותו מקרה ספציפי שנדון בפני בית המשפט המחוזי בפסק דינו הנזכר, סבר ההרכב כי אכן יש מקום להחיל את החריג, ולפסוק פיצויי בגין סרבנות גט, הגם שבבית הדין הרבני כלל לא ניתן פסק דין לגירושין, אף לא המלצה לגירושין, ואפילו לא היה באותה העת הליך תלוי ועומד בפני בית הדין הרבני, ותוך התחשבות בנסיבות המיוחדות של אותו מקרה (שעיקרו היה פירוד ממושך בין הצדדים ומנגד אף מתן צו למדור ספציפי המונע פירוק שיתוף בנכס המשותף). עם זאת, מרבית השיקולים שעמדו לנגד עיניו של בית המשפט המחוזי, הם שיקולים רלבנטיים גם במקרה הנדון בפניי, ועל כן אזכיר כמה מהם: </w:t>
      </w:r>
    </w:p>
    <w:p w:rsidR="006B2493" w:rsidRDefault="006B2493" w:rsidP="006B2493">
      <w:pPr>
        <w:spacing w:line="360" w:lineRule="auto"/>
        <w:ind w:left="720"/>
        <w:jc w:val="both"/>
        <w:rPr>
          <w:rFonts w:ascii="David" w:hAnsi="David"/>
          <w:noProof w:val="0"/>
          <w:rtl/>
        </w:rPr>
      </w:pPr>
    </w:p>
    <w:p w:rsidR="006B2493" w:rsidRDefault="006B2493" w:rsidP="006B2493">
      <w:pPr>
        <w:pStyle w:val="a5"/>
        <w:numPr>
          <w:ilvl w:val="0"/>
          <w:numId w:val="2"/>
        </w:numPr>
        <w:spacing w:line="360" w:lineRule="auto"/>
        <w:ind w:left="1440"/>
        <w:jc w:val="both"/>
        <w:rPr>
          <w:rFonts w:ascii="David" w:hAnsi="David"/>
          <w:noProof w:val="0"/>
          <w:rtl/>
        </w:rPr>
      </w:pPr>
      <w:r>
        <w:rPr>
          <w:rFonts w:ascii="David" w:hAnsi="David"/>
          <w:noProof w:val="0"/>
          <w:rtl/>
        </w:rPr>
        <w:lastRenderedPageBreak/>
        <w:t xml:space="preserve">בית הדין הרבני סיים מלאכתו, משכך קביעת בית המשפט בתביעה שלפניו לא תקדים ותקבע מסמרות בסוגיה עוד טרם שבית הדין נדרש לעניין; </w:t>
      </w:r>
    </w:p>
    <w:p w:rsidR="006B2493" w:rsidRDefault="006B2493" w:rsidP="006B2493">
      <w:pPr>
        <w:pStyle w:val="a5"/>
        <w:numPr>
          <w:ilvl w:val="0"/>
          <w:numId w:val="2"/>
        </w:numPr>
        <w:spacing w:line="360" w:lineRule="auto"/>
        <w:ind w:left="1440"/>
        <w:jc w:val="both"/>
        <w:rPr>
          <w:rFonts w:ascii="David" w:hAnsi="David"/>
          <w:noProof w:val="0"/>
        </w:rPr>
      </w:pPr>
      <w:r>
        <w:rPr>
          <w:rFonts w:ascii="David" w:hAnsi="David"/>
          <w:noProof w:val="0"/>
          <w:rtl/>
        </w:rPr>
        <w:t>פרק הזמן הארוך שבו חיים הצדדים בנתק זה מזה;</w:t>
      </w:r>
    </w:p>
    <w:p w:rsidR="006B2493" w:rsidRDefault="006B2493" w:rsidP="006B2493">
      <w:pPr>
        <w:pStyle w:val="a5"/>
        <w:numPr>
          <w:ilvl w:val="0"/>
          <w:numId w:val="2"/>
        </w:numPr>
        <w:spacing w:line="360" w:lineRule="auto"/>
        <w:ind w:left="1440"/>
        <w:jc w:val="both"/>
        <w:rPr>
          <w:rFonts w:ascii="David" w:hAnsi="David"/>
          <w:noProof w:val="0"/>
        </w:rPr>
      </w:pPr>
      <w:r>
        <w:rPr>
          <w:rFonts w:ascii="David" w:hAnsi="David"/>
          <w:noProof w:val="0"/>
          <w:rtl/>
        </w:rPr>
        <w:t>כנות ותום לב, או העדרם, בבקשה לשלום בית מצד בן הזוג שמסרב לתת גט;</w:t>
      </w:r>
    </w:p>
    <w:p w:rsidR="006B2493" w:rsidRDefault="006B2493" w:rsidP="006B2493">
      <w:pPr>
        <w:pStyle w:val="a5"/>
        <w:numPr>
          <w:ilvl w:val="0"/>
          <w:numId w:val="2"/>
        </w:numPr>
        <w:spacing w:line="360" w:lineRule="auto"/>
        <w:ind w:left="1440"/>
        <w:jc w:val="both"/>
        <w:rPr>
          <w:rFonts w:ascii="David" w:hAnsi="David"/>
          <w:noProof w:val="0"/>
        </w:rPr>
      </w:pPr>
      <w:r>
        <w:rPr>
          <w:rFonts w:ascii="David" w:hAnsi="David"/>
          <w:noProof w:val="0"/>
          <w:rtl/>
        </w:rPr>
        <w:t>העדר הצדקה חיצונית כגון טעם כלכלי או אחר למניעת הגט;</w:t>
      </w:r>
    </w:p>
    <w:p w:rsidR="006B2493" w:rsidRDefault="006B2493" w:rsidP="006B2493">
      <w:pPr>
        <w:pStyle w:val="a5"/>
        <w:numPr>
          <w:ilvl w:val="0"/>
          <w:numId w:val="2"/>
        </w:numPr>
        <w:spacing w:line="360" w:lineRule="auto"/>
        <w:ind w:left="1440"/>
        <w:jc w:val="both"/>
        <w:rPr>
          <w:rFonts w:ascii="David" w:hAnsi="David"/>
          <w:noProof w:val="0"/>
        </w:rPr>
      </w:pPr>
      <w:r>
        <w:rPr>
          <w:rFonts w:ascii="David" w:hAnsi="David"/>
          <w:noProof w:val="0"/>
          <w:rtl/>
        </w:rPr>
        <w:t>התרשמות הערכאה הרבנית כי חיי הנישואים של הצדדים תמו וחסרי סיכוי לשלום בית.</w:t>
      </w:r>
    </w:p>
    <w:p w:rsidR="006B2493" w:rsidRDefault="006B2493" w:rsidP="006B2493">
      <w:pPr>
        <w:spacing w:line="360" w:lineRule="auto"/>
        <w:ind w:left="360"/>
        <w:jc w:val="both"/>
        <w:rPr>
          <w:rFonts w:ascii="David" w:hAnsi="David"/>
          <w:noProof w:val="0"/>
          <w:rtl/>
        </w:rPr>
      </w:pPr>
    </w:p>
    <w:p w:rsidR="006B2493" w:rsidRDefault="006B2493" w:rsidP="006B2493">
      <w:pPr>
        <w:spacing w:line="360" w:lineRule="auto"/>
        <w:ind w:left="720" w:firstLine="360"/>
        <w:jc w:val="both"/>
        <w:rPr>
          <w:rFonts w:ascii="David" w:hAnsi="David"/>
          <w:noProof w:val="0"/>
          <w:rtl/>
        </w:rPr>
      </w:pPr>
      <w:r>
        <w:rPr>
          <w:rFonts w:ascii="David" w:hAnsi="David"/>
          <w:noProof w:val="0"/>
          <w:rtl/>
        </w:rPr>
        <w:t>על רקע זה, נשוב למקרה של הצדדים בפניי.</w:t>
      </w:r>
    </w:p>
    <w:p w:rsidR="006B2493" w:rsidRDefault="006B2493" w:rsidP="006B2493">
      <w:pPr>
        <w:spacing w:line="360" w:lineRule="auto"/>
        <w:ind w:left="360"/>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בהתאם למתווה המנחה המפורט לעיל של בית המשפט המחוזי, מצאתי כי יש לייחס לאיש אחריות נזיקית כלפי האישה בגין עוולת הרשלנות עקב נזקיה שנגרמו לה כתוצאה מסירובו לתת לה גט, החל מיום 17.2.2015 – הוא המועד שבו ניתן פסק דין של בית הדין הרבני הממליץ על גירושי הצדדים זה מזה, ועד ליום סידור הגט – 6.7.2017. </w:t>
      </w:r>
    </w:p>
    <w:p w:rsidR="006B2493" w:rsidRDefault="006B2493" w:rsidP="006B2493">
      <w:pPr>
        <w:pStyle w:val="a5"/>
        <w:spacing w:line="360" w:lineRule="auto"/>
        <w:jc w:val="both"/>
        <w:rPr>
          <w:rFonts w:ascii="David" w:hAnsi="David"/>
          <w:noProof w:val="0"/>
        </w:rPr>
      </w:pPr>
    </w:p>
    <w:p w:rsidR="006B2493" w:rsidRDefault="006B2493" w:rsidP="006B2493">
      <w:pPr>
        <w:pStyle w:val="a5"/>
        <w:spacing w:line="360" w:lineRule="auto"/>
        <w:jc w:val="both"/>
        <w:rPr>
          <w:rFonts w:ascii="David" w:hAnsi="David"/>
          <w:noProof w:val="0"/>
          <w:rtl/>
        </w:rPr>
      </w:pPr>
      <w:r>
        <w:rPr>
          <w:rFonts w:ascii="David" w:hAnsi="David"/>
          <w:noProof w:val="0"/>
          <w:rtl/>
        </w:rPr>
        <w:t xml:space="preserve">בנסיבות המקרה הנדון לא מצאתי לקבל את תביעת האישה לחיוב בפיצוי בגין התקופה שהחלה חודש לאחר הגשת תביעת הגירושין (10.2013); ומאידך לא מצאתי לקבל טענת האיש כי כל עוד לא הוכרז האיש "סרבן גט" בידי בית הדין הרבני, כי אז אין עילת תביעה כלל. </w:t>
      </w:r>
    </w:p>
    <w:p w:rsidR="006B2493" w:rsidRDefault="006B2493" w:rsidP="006B2493">
      <w:pPr>
        <w:spacing w:line="360" w:lineRule="auto"/>
        <w:jc w:val="both"/>
        <w:rPr>
          <w:rFonts w:ascii="David" w:hAnsi="David"/>
          <w:noProof w:val="0"/>
          <w:rtl/>
        </w:rPr>
      </w:pPr>
    </w:p>
    <w:p w:rsidR="006B2493" w:rsidRDefault="006B2493" w:rsidP="006B2493">
      <w:pPr>
        <w:spacing w:line="360" w:lineRule="auto"/>
        <w:ind w:left="360" w:firstLine="360"/>
        <w:jc w:val="both"/>
        <w:rPr>
          <w:rFonts w:ascii="David" w:hAnsi="David"/>
          <w:noProof w:val="0"/>
          <w:rtl/>
        </w:rPr>
      </w:pPr>
      <w:r>
        <w:rPr>
          <w:rFonts w:ascii="David" w:hAnsi="David"/>
          <w:noProof w:val="0"/>
          <w:rtl/>
        </w:rPr>
        <w:t xml:space="preserve">אנמק.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after="120" w:line="360" w:lineRule="auto"/>
        <w:jc w:val="both"/>
        <w:rPr>
          <w:rFonts w:ascii="David" w:hAnsi="David"/>
          <w:noProof w:val="0"/>
          <w:rtl/>
        </w:rPr>
      </w:pPr>
      <w:r>
        <w:rPr>
          <w:rFonts w:ascii="David" w:hAnsi="David"/>
          <w:noProof w:val="0"/>
          <w:rtl/>
        </w:rPr>
        <w:t>כאמור, נפסק לא אחת כי סרבנות-גט היא מעשה העולה כדי עוולת רשלנות, תוך קביעה שבן-זוג הממאן להתגרש, ללא סיבה ראויה ולגיטימית לסירובו זה, עלול להיות מי שמפר את חובת הזהירות המושגית והקונקרטית כלפי בן זוגו. על פי עוולת הרשלנות, אדם חב חובת זהירות כלפי משנהו "</w:t>
      </w:r>
      <w:r>
        <w:rPr>
          <w:rFonts w:ascii="David" w:hAnsi="David"/>
          <w:b/>
          <w:bCs/>
          <w:noProof w:val="0"/>
          <w:rtl/>
        </w:rPr>
        <w:t>כל אימת שאדם סביר צריך היה באותן נסיבות לראות מראש שהם עלולים במהלכם הרגיל של הדברים להיפגע מהתנהגותו</w:t>
      </w:r>
      <w:r>
        <w:rPr>
          <w:rFonts w:ascii="David" w:hAnsi="David"/>
          <w:noProof w:val="0"/>
          <w:rtl/>
        </w:rPr>
        <w:t>" (</w:t>
      </w:r>
      <w:hyperlink r:id="rId8" w:history="1">
        <w:r>
          <w:rPr>
            <w:rStyle w:val="Hyperlink"/>
            <w:rFonts w:ascii="David" w:hAnsi="David"/>
            <w:noProof w:val="0"/>
            <w:color w:val="auto"/>
            <w:u w:val="none"/>
            <w:rtl/>
          </w:rPr>
          <w:t>סעיף 36</w:t>
        </w:r>
      </w:hyperlink>
      <w:r>
        <w:rPr>
          <w:rFonts w:ascii="David" w:hAnsi="David"/>
          <w:noProof w:val="0"/>
          <w:rtl/>
        </w:rPr>
        <w:t xml:space="preserve"> ל</w:t>
      </w:r>
      <w:hyperlink r:id="rId9" w:history="1">
        <w:r>
          <w:rPr>
            <w:rStyle w:val="Hyperlink"/>
            <w:rFonts w:ascii="David" w:hAnsi="David"/>
            <w:noProof w:val="0"/>
            <w:color w:val="auto"/>
            <w:u w:val="none"/>
            <w:rtl/>
          </w:rPr>
          <w:t xml:space="preserve">פקודת </w:t>
        </w:r>
        <w:proofErr w:type="spellStart"/>
        <w:r>
          <w:rPr>
            <w:rStyle w:val="Hyperlink"/>
            <w:rFonts w:ascii="David" w:hAnsi="David"/>
            <w:noProof w:val="0"/>
            <w:color w:val="auto"/>
            <w:u w:val="none"/>
            <w:rtl/>
          </w:rPr>
          <w:t>הנזיקין</w:t>
        </w:r>
        <w:proofErr w:type="spellEnd"/>
      </w:hyperlink>
      <w:r>
        <w:rPr>
          <w:rFonts w:ascii="David" w:hAnsi="David"/>
          <w:noProof w:val="0"/>
          <w:rtl/>
        </w:rPr>
        <w:t xml:space="preserve">). בגדרה של עוולה זו, על-פי הגדרתה, נופלים אפוא מעשים החורגים מסטנדרט ההתנהגות של "אדם סביר": ויש להשיב על השאלה האם אדם סביר יכול היה, וצריך היה, לצפות, בנסיבותיו של המקרה הקונקרטי, את התרחשות הנזק, כאשר מבחן זה משלב היבטים פיזיים ונורמטיביים כאחד, תוך התחשבות במזיק הספציפי, בניזוק הספציפי, בנזק הספציפי ובהתנהגות הספציפית. </w:t>
      </w:r>
    </w:p>
    <w:p w:rsidR="006B2493" w:rsidRDefault="006B2493" w:rsidP="006B2493">
      <w:pPr>
        <w:spacing w:line="360" w:lineRule="auto"/>
        <w:ind w:left="1134" w:hanging="851"/>
        <w:jc w:val="both"/>
        <w:rPr>
          <w:rFonts w:ascii="David" w:hAnsi="David"/>
          <w:rtl/>
        </w:rPr>
      </w:pPr>
    </w:p>
    <w:p w:rsidR="006B2493" w:rsidRDefault="006B2493" w:rsidP="006B2493">
      <w:pPr>
        <w:pStyle w:val="a5"/>
        <w:numPr>
          <w:ilvl w:val="0"/>
          <w:numId w:val="1"/>
        </w:numPr>
        <w:spacing w:after="120" w:line="360" w:lineRule="auto"/>
        <w:jc w:val="both"/>
        <w:rPr>
          <w:rFonts w:ascii="David" w:hAnsi="David"/>
          <w:noProof w:val="0"/>
          <w:rtl/>
        </w:rPr>
      </w:pPr>
      <w:r>
        <w:rPr>
          <w:rFonts w:ascii="David" w:hAnsi="David"/>
          <w:noProof w:val="0"/>
          <w:rtl/>
        </w:rPr>
        <w:t xml:space="preserve">למעשה, אין חולק כי האיש סרב במשך תקופה של 4 שנים לתת גט לאישה, אלא שלא די בקביעה זו לבדה, ויש לבחון האם בנסיבות המקרה הסירוב היה מוצדק או חרג מהתנהגות סבירה, ועולה על כן כדי רשלנות. </w:t>
      </w:r>
    </w:p>
    <w:p w:rsidR="006B2493" w:rsidRDefault="006B2493" w:rsidP="006B2493">
      <w:pPr>
        <w:pStyle w:val="a5"/>
        <w:spacing w:after="120" w:line="360" w:lineRule="auto"/>
        <w:jc w:val="both"/>
        <w:rPr>
          <w:rFonts w:ascii="David" w:hAnsi="David"/>
          <w:noProof w:val="0"/>
        </w:rPr>
      </w:pPr>
    </w:p>
    <w:p w:rsidR="006B2493" w:rsidRDefault="006B2493" w:rsidP="006B2493">
      <w:pPr>
        <w:pStyle w:val="a5"/>
        <w:numPr>
          <w:ilvl w:val="0"/>
          <w:numId w:val="1"/>
        </w:numPr>
        <w:spacing w:after="120" w:line="360" w:lineRule="auto"/>
        <w:jc w:val="both"/>
        <w:rPr>
          <w:rFonts w:ascii="David" w:hAnsi="David"/>
          <w:noProof w:val="0"/>
          <w:rtl/>
        </w:rPr>
      </w:pPr>
      <w:r>
        <w:rPr>
          <w:rFonts w:ascii="David" w:hAnsi="David"/>
          <w:noProof w:val="0"/>
          <w:rtl/>
        </w:rPr>
        <w:lastRenderedPageBreak/>
        <w:t xml:space="preserve">עיקר טענתו של האיש הינה כי האמין בכל ליבו שיוכל להציל את הנישואין עם האישה ועל כן סירב </w:t>
      </w:r>
      <w:proofErr w:type="spellStart"/>
      <w:r>
        <w:rPr>
          <w:rFonts w:ascii="David" w:hAnsi="David"/>
          <w:noProof w:val="0"/>
          <w:rtl/>
        </w:rPr>
        <w:t>ליתן</w:t>
      </w:r>
      <w:proofErr w:type="spellEnd"/>
      <w:r>
        <w:rPr>
          <w:rFonts w:ascii="David" w:hAnsi="David"/>
          <w:noProof w:val="0"/>
          <w:rtl/>
        </w:rPr>
        <w:t xml:space="preserve"> גט מנימוקים של שלום בית. עולה אפוא השאלה האם סירוב מטעם זה הינו סירוב סביר ולגיטימי, כפי שניתן לצפות מאדם סביר בנעליו, בנסיבות שתוארו, מכאן שהבחינה היא אובייקטיבית. על כך תשובתי, כי יתכן שסירובו להתגרש מנימוק של שלום בית היה לגיטימי בתחילתו, ואף בית הדין הרבני בירר את העניין ומינה מומחה לבחינת הנושא באופן מקצועי, אך החל מנקודת זמן </w:t>
      </w:r>
      <w:proofErr w:type="spellStart"/>
      <w:r>
        <w:rPr>
          <w:rFonts w:ascii="David" w:hAnsi="David"/>
          <w:noProof w:val="0"/>
          <w:rtl/>
        </w:rPr>
        <w:t>מסויימת</w:t>
      </w:r>
      <w:proofErr w:type="spellEnd"/>
      <w:r>
        <w:rPr>
          <w:rFonts w:ascii="David" w:hAnsi="David"/>
          <w:noProof w:val="0"/>
          <w:rtl/>
        </w:rPr>
        <w:t xml:space="preserve"> איבד הנימוק של "שלום בית" מן הלגיטימיות שלו עד אשר הפך לבלתי סביר וחסר תום לב. </w:t>
      </w:r>
    </w:p>
    <w:p w:rsidR="006B2493" w:rsidRDefault="006B2493" w:rsidP="006B2493">
      <w:pPr>
        <w:pStyle w:val="a5"/>
        <w:rPr>
          <w:rFonts w:ascii="David" w:hAnsi="David"/>
          <w:noProof w:val="0"/>
        </w:rPr>
      </w:pPr>
    </w:p>
    <w:p w:rsidR="006B2493" w:rsidRDefault="006B2493" w:rsidP="006B1227">
      <w:pPr>
        <w:pStyle w:val="a5"/>
        <w:numPr>
          <w:ilvl w:val="0"/>
          <w:numId w:val="1"/>
        </w:numPr>
        <w:spacing w:after="120" w:line="360" w:lineRule="auto"/>
        <w:jc w:val="both"/>
        <w:rPr>
          <w:rFonts w:ascii="David" w:hAnsi="David"/>
          <w:noProof w:val="0"/>
        </w:rPr>
      </w:pPr>
      <w:r>
        <w:rPr>
          <w:rFonts w:ascii="David" w:hAnsi="David"/>
          <w:noProof w:val="0"/>
          <w:rtl/>
        </w:rPr>
        <w:t xml:space="preserve">בענייננו, האישה הביעה התנגדות עקבית ונחרצת להישאר כבולה בקשר הנישואין, והביעה שוב ושוב, ושוב, רצונה בגירושין וחוסר רצונה בשלום בית עם האיש. התנגדותה המילולית לוותה במעשים – עזבה את הבית, הגישה תביעה לגירושין, נאלצה לעזוב את עבודתה ועיר מגוריה כדי להתרחק מן האיש, הגישה בקשות לצווי הגנה ותלונות במשטרה כנגד האיש (ולעניין שבפנינו אין זה משנה שהתלונות נסגרו, היות שאנו בוחנים את מעשיה של האישה והבעת רצונה), הצהירה מפורשות בדיונים הרבים בערכאות השונות על רצונה להתגרש, הסבירה את רצונה הברור בסבל הרב שסבלה מקשר הנישואין עם האיש ולא שיתפה כל פעולה עם ניסיונות גישור ופיוס בין בני הזוג מטעם </w:t>
      </w:r>
      <w:r>
        <w:rPr>
          <w:rFonts w:ascii="David" w:hAnsi="David" w:hint="cs"/>
          <w:noProof w:val="0"/>
          <w:rtl/>
        </w:rPr>
        <w:t xml:space="preserve">מר </w:t>
      </w:r>
      <w:r w:rsidR="006B1227">
        <w:rPr>
          <w:rFonts w:ascii="David" w:hAnsi="David"/>
          <w:noProof w:val="0"/>
        </w:rPr>
        <w:t>x</w:t>
      </w:r>
      <w:r>
        <w:rPr>
          <w:rFonts w:ascii="David" w:hAnsi="David" w:hint="cs"/>
          <w:noProof w:val="0"/>
          <w:rtl/>
        </w:rPr>
        <w:t>.</w:t>
      </w:r>
      <w:r>
        <w:rPr>
          <w:rFonts w:ascii="David" w:hAnsi="David"/>
          <w:noProof w:val="0"/>
          <w:rtl/>
        </w:rPr>
        <w:t xml:space="preserve"> </w:t>
      </w:r>
    </w:p>
    <w:p w:rsidR="006B1227" w:rsidRPr="006B1227" w:rsidRDefault="006B1227" w:rsidP="006B1227">
      <w:pPr>
        <w:pStyle w:val="a5"/>
        <w:rPr>
          <w:rFonts w:ascii="David" w:hAnsi="David"/>
          <w:noProof w:val="0"/>
          <w:rtl/>
        </w:rPr>
      </w:pPr>
    </w:p>
    <w:p w:rsidR="006B2493" w:rsidRDefault="006B2493" w:rsidP="006B2493">
      <w:pPr>
        <w:pStyle w:val="a5"/>
        <w:numPr>
          <w:ilvl w:val="0"/>
          <w:numId w:val="1"/>
        </w:numPr>
        <w:spacing w:after="120" w:line="360" w:lineRule="auto"/>
        <w:jc w:val="both"/>
        <w:rPr>
          <w:rFonts w:ascii="David" w:hAnsi="David"/>
          <w:noProof w:val="0"/>
          <w:rtl/>
        </w:rPr>
      </w:pPr>
      <w:r>
        <w:rPr>
          <w:rFonts w:ascii="David" w:hAnsi="David"/>
          <w:noProof w:val="0"/>
          <w:rtl/>
        </w:rPr>
        <w:t xml:space="preserve">יתר על כן, מונה כאמור מטעם בית הדין הרבני מומחה בדיוק לשם בחינת ההיתכנות לשלום בית, והוא סבר, בחוות דעתו כבר משנת 2014, כי הסיכוי לכך </w:t>
      </w:r>
      <w:r>
        <w:rPr>
          <w:rFonts w:ascii="David" w:hAnsi="David"/>
          <w:b/>
          <w:bCs/>
          <w:noProof w:val="0"/>
          <w:u w:val="single"/>
          <w:rtl/>
        </w:rPr>
        <w:t>אפסי</w:t>
      </w:r>
      <w:r>
        <w:rPr>
          <w:rFonts w:ascii="David" w:hAnsi="David"/>
          <w:noProof w:val="0"/>
          <w:rtl/>
        </w:rPr>
        <w:t xml:space="preserve">. </w:t>
      </w:r>
    </w:p>
    <w:p w:rsidR="006B2493" w:rsidRDefault="006B2493" w:rsidP="006B2493">
      <w:pPr>
        <w:pStyle w:val="a5"/>
        <w:rPr>
          <w:rFonts w:ascii="David" w:hAnsi="David"/>
          <w:noProof w:val="0"/>
        </w:rPr>
      </w:pPr>
    </w:p>
    <w:p w:rsidR="006B2493" w:rsidRDefault="006B2493" w:rsidP="006B2493">
      <w:pPr>
        <w:pStyle w:val="a5"/>
        <w:numPr>
          <w:ilvl w:val="0"/>
          <w:numId w:val="1"/>
        </w:numPr>
        <w:spacing w:after="120" w:line="360" w:lineRule="auto"/>
        <w:jc w:val="both"/>
        <w:rPr>
          <w:rFonts w:ascii="David" w:hAnsi="David"/>
          <w:noProof w:val="0"/>
          <w:rtl/>
        </w:rPr>
      </w:pPr>
      <w:r>
        <w:rPr>
          <w:rFonts w:ascii="David" w:hAnsi="David"/>
          <w:noProof w:val="0"/>
          <w:rtl/>
        </w:rPr>
        <w:t xml:space="preserve">נוכח כל אלו היה על האיש להימנע מאטימת אזניו לזעקת האישה המבקשת להשתחרר מכבלי נישואיה אליו, ולהבין כי הסיכוי להשכין שלום בינו לבינה אינו קיים. אלא שהאיש אטם אזניו, והתמקד אך ורק באמונתו שלו כי הדבר אפשרי ואף רצוי. </w:t>
      </w:r>
    </w:p>
    <w:p w:rsidR="006B2493" w:rsidRDefault="006B2493" w:rsidP="006B2493">
      <w:pPr>
        <w:pStyle w:val="a5"/>
        <w:spacing w:after="120" w:line="360" w:lineRule="auto"/>
        <w:jc w:val="both"/>
        <w:rPr>
          <w:rFonts w:ascii="David" w:hAnsi="David"/>
          <w:noProof w:val="0"/>
        </w:rPr>
      </w:pPr>
    </w:p>
    <w:p w:rsidR="006B2493" w:rsidRDefault="006B2493" w:rsidP="006B2493">
      <w:pPr>
        <w:pStyle w:val="a5"/>
        <w:spacing w:after="120" w:line="360" w:lineRule="auto"/>
        <w:jc w:val="both"/>
        <w:rPr>
          <w:rFonts w:ascii="David" w:hAnsi="David"/>
          <w:noProof w:val="0"/>
          <w:rtl/>
        </w:rPr>
      </w:pPr>
      <w:r>
        <w:rPr>
          <w:rFonts w:ascii="David" w:hAnsi="David"/>
          <w:noProof w:val="0"/>
          <w:rtl/>
        </w:rPr>
        <w:t xml:space="preserve">הנקודה שבה חדלה האמונה העיקשת של האיש להיות סבירה ולגיטימית על פי אמת מידה אובייקטיבית, היא במתן פסק דינו המנומק של בית הדין הרבני מיום 17.2.2015, הדוחה את תביעת האיש לחייב את האישה בשלום בית וממליץ על גירושי הצדדים, ובפרט כאשר פסק דין זה ניתן לאחר פרידה ממושכת של קרוב לשנתיים, וכשנה וחצי לאחר הגשת תביעת הגירושין. החל ממועד זה ואילך, שוב אין לגיטימיות אובייקטיבית לאמונתו הסובייקטיבית של האיש כי יש להמשיך לאחוז בקשר הנישואין, אף אם המשיך להאמין בכך בכל ליבו. השאלה אינה נבחנה על פי אמונתו האישית, אלא על פי האופן שבו אדם סביר היה נוהג בנסיבות אלו. נוכח כל האמור לעיל, הרי שהמשך סירובו </w:t>
      </w:r>
      <w:proofErr w:type="spellStart"/>
      <w:r>
        <w:rPr>
          <w:rFonts w:ascii="David" w:hAnsi="David"/>
          <w:noProof w:val="0"/>
          <w:rtl/>
        </w:rPr>
        <w:t>ליתן</w:t>
      </w:r>
      <w:proofErr w:type="spellEnd"/>
      <w:r>
        <w:rPr>
          <w:rFonts w:ascii="David" w:hAnsi="David"/>
          <w:noProof w:val="0"/>
          <w:rtl/>
        </w:rPr>
        <w:t xml:space="preserve"> לאישה גט לאחר פסק הדין של בית הדין הרבני, בהינתן הפרידה הממושכת בין הצדדים באותה עת, ועל רקע כל יתר הנסיבות שתוארו, ותוך התעלמות מבקשת האישה לחירותה – איננו סביר ועולה מנקודה זו ואילך כדי התנהגות פוגענית ורשלנית כלפי האישה.  </w:t>
      </w:r>
    </w:p>
    <w:p w:rsidR="006B2493" w:rsidRDefault="006B2493" w:rsidP="006B2493">
      <w:pPr>
        <w:pStyle w:val="a5"/>
        <w:spacing w:after="120" w:line="360" w:lineRule="auto"/>
        <w:jc w:val="both"/>
        <w:rPr>
          <w:rFonts w:ascii="David" w:hAnsi="David"/>
          <w:noProof w:val="0"/>
          <w:rtl/>
        </w:rPr>
      </w:pPr>
    </w:p>
    <w:p w:rsidR="006B2493" w:rsidRDefault="006B2493" w:rsidP="006B2493">
      <w:pPr>
        <w:pStyle w:val="a5"/>
        <w:spacing w:after="120" w:line="360" w:lineRule="auto"/>
        <w:jc w:val="both"/>
        <w:rPr>
          <w:rFonts w:ascii="David" w:hAnsi="David"/>
          <w:noProof w:val="0"/>
          <w:rtl/>
        </w:rPr>
      </w:pPr>
      <w:r>
        <w:rPr>
          <w:rFonts w:ascii="David" w:hAnsi="David"/>
          <w:noProof w:val="0"/>
          <w:rtl/>
        </w:rPr>
        <w:t>"</w:t>
      </w:r>
      <w:r>
        <w:rPr>
          <w:rFonts w:ascii="David" w:hAnsi="David"/>
          <w:b/>
          <w:bCs/>
          <w:noProof w:val="0"/>
          <w:rtl/>
        </w:rPr>
        <w:t xml:space="preserve">סירוב להתגרש בדרישה לשלום בית עשוי, אולי, להיחשב לסביר ומקובל בפרק זמן </w:t>
      </w:r>
      <w:proofErr w:type="spellStart"/>
      <w:r>
        <w:rPr>
          <w:rFonts w:ascii="David" w:hAnsi="David"/>
          <w:b/>
          <w:bCs/>
          <w:noProof w:val="0"/>
          <w:rtl/>
        </w:rPr>
        <w:t>מסויים</w:t>
      </w:r>
      <w:proofErr w:type="spellEnd"/>
      <w:r>
        <w:rPr>
          <w:rFonts w:ascii="David" w:hAnsi="David"/>
          <w:b/>
          <w:bCs/>
          <w:noProof w:val="0"/>
          <w:rtl/>
        </w:rPr>
        <w:t xml:space="preserve">, על רקע נסיבות </w:t>
      </w:r>
      <w:proofErr w:type="spellStart"/>
      <w:r>
        <w:rPr>
          <w:rFonts w:ascii="David" w:hAnsi="David"/>
          <w:b/>
          <w:bCs/>
          <w:noProof w:val="0"/>
          <w:rtl/>
        </w:rPr>
        <w:t>מסויימות</w:t>
      </w:r>
      <w:proofErr w:type="spellEnd"/>
      <w:r>
        <w:rPr>
          <w:rFonts w:ascii="David" w:hAnsi="David"/>
          <w:b/>
          <w:bCs/>
          <w:noProof w:val="0"/>
          <w:rtl/>
        </w:rPr>
        <w:t xml:space="preserve">, כמו גם סירוב לגט שעה שמתנהל משא ומתן כן, תם-לב וענייני לקראת הסכם גירושין לתקופת המשא ומתן; אך ככל שחולפים ונוקפים הימים, שעה שבן הזוג השני מביע חוסר רצון עקבי לנסות ולשקם את המשפחה, ... ושעה </w:t>
      </w:r>
      <w:r>
        <w:rPr>
          <w:rFonts w:ascii="David" w:hAnsi="David"/>
          <w:b/>
          <w:bCs/>
          <w:noProof w:val="0"/>
          <w:rtl/>
        </w:rPr>
        <w:lastRenderedPageBreak/>
        <w:t xml:space="preserve">שברור כי קשר הנישואין הפך בינתיים לקליפה ריקה חסרת תוכן </w:t>
      </w:r>
      <w:proofErr w:type="spellStart"/>
      <w:r>
        <w:rPr>
          <w:rFonts w:ascii="David" w:hAnsi="David"/>
          <w:b/>
          <w:bCs/>
          <w:noProof w:val="0"/>
          <w:rtl/>
        </w:rPr>
        <w:t>אמיתי</w:t>
      </w:r>
      <w:proofErr w:type="spellEnd"/>
      <w:r>
        <w:rPr>
          <w:rFonts w:ascii="David" w:hAnsi="David"/>
          <w:b/>
          <w:bCs/>
          <w:noProof w:val="0"/>
          <w:rtl/>
        </w:rPr>
        <w:t xml:space="preserve"> – או אז עמידה בנסיבות כאלו על סירוב להתגרש עלולה להפוך לחסרת תום לב, ולבלתי סבירה</w:t>
      </w:r>
      <w:r>
        <w:rPr>
          <w:rFonts w:ascii="David" w:hAnsi="David"/>
          <w:noProof w:val="0"/>
          <w:rtl/>
        </w:rPr>
        <w:t>" (</w:t>
      </w:r>
      <w:proofErr w:type="spellStart"/>
      <w:r>
        <w:rPr>
          <w:rFonts w:ascii="David" w:hAnsi="David"/>
          <w:b/>
          <w:bCs/>
          <w:noProof w:val="0"/>
          <w:rtl/>
        </w:rPr>
        <w:t>תמ"ש</w:t>
      </w:r>
      <w:proofErr w:type="spellEnd"/>
      <w:r>
        <w:rPr>
          <w:rFonts w:ascii="David" w:hAnsi="David"/>
          <w:b/>
          <w:bCs/>
          <w:noProof w:val="0"/>
          <w:rtl/>
        </w:rPr>
        <w:t xml:space="preserve"> (י-ם) 39371-09-12 ב.ע. נ' ב.ע. </w:t>
      </w:r>
      <w:r>
        <w:rPr>
          <w:rFonts w:ascii="David" w:hAnsi="David"/>
          <w:noProof w:val="0"/>
          <w:rtl/>
        </w:rPr>
        <w:t xml:space="preserve">  (10.12.2013) סעיף 31 לפסה"ד).</w:t>
      </w:r>
    </w:p>
    <w:p w:rsidR="006B2493" w:rsidRDefault="006B2493" w:rsidP="006B2493">
      <w:pPr>
        <w:pStyle w:val="a5"/>
        <w:spacing w:line="360" w:lineRule="auto"/>
        <w:ind w:left="1134" w:firstLine="180"/>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באשר לטענות האישה כי טענת שלום הבית של האיש מלכתחילה לא </w:t>
      </w:r>
      <w:proofErr w:type="spellStart"/>
      <w:r>
        <w:rPr>
          <w:rFonts w:ascii="David" w:hAnsi="David"/>
          <w:noProof w:val="0"/>
          <w:rtl/>
        </w:rPr>
        <w:t>היתה</w:t>
      </w:r>
      <w:proofErr w:type="spellEnd"/>
      <w:r>
        <w:rPr>
          <w:rFonts w:ascii="David" w:hAnsi="David"/>
          <w:noProof w:val="0"/>
          <w:rtl/>
        </w:rPr>
        <w:t xml:space="preserve"> כנה, אלא </w:t>
      </w:r>
      <w:proofErr w:type="spellStart"/>
      <w:r>
        <w:rPr>
          <w:rFonts w:ascii="David" w:hAnsi="David"/>
          <w:noProof w:val="0"/>
          <w:rtl/>
        </w:rPr>
        <w:t>היתה</w:t>
      </w:r>
      <w:proofErr w:type="spellEnd"/>
      <w:r>
        <w:rPr>
          <w:rFonts w:ascii="David" w:hAnsi="David"/>
          <w:noProof w:val="0"/>
          <w:rtl/>
        </w:rPr>
        <w:t xml:space="preserve"> מן הפה ואל החוץ ומנימוקים של נקמנות, פגיעה באגו וכעס כלפי האישה בעוזבה אותו, לא אוכל שלא להביע תמיהה על כמה מהתנהגויותיו של האיש אשר לא עלו בקנה אחד עם בקשתו לשלום בית, ואשר אכן מעמידות בסימן שאלה את כנותו להתפייס עם האישה ממקום תם וכן. כך למשל, התנהגותו האגרסיבית כלפי האישה בדיונים בבית הדין, עד כי בית הדין עצמו מצא לנכון להעיר לו על כך, והדבר אף הוזכר בפסק הדין מיום 17.2.2015, כן הוזכרה שם תביעה כספית שהגיש באותה תקופה כנגד האישה בגין הוצאת דיבה – פעולות שעל פניהן אינן מתיישבות עם רצון </w:t>
      </w:r>
      <w:proofErr w:type="spellStart"/>
      <w:r>
        <w:rPr>
          <w:rFonts w:ascii="David" w:hAnsi="David"/>
          <w:noProof w:val="0"/>
          <w:rtl/>
        </w:rPr>
        <w:t>אמיתי</w:t>
      </w:r>
      <w:proofErr w:type="spellEnd"/>
      <w:r>
        <w:rPr>
          <w:rFonts w:ascii="David" w:hAnsi="David"/>
          <w:noProof w:val="0"/>
          <w:rtl/>
        </w:rPr>
        <w:t xml:space="preserve"> להשכין שלום. ועם זאת, ומנגד, כן הוזכרו ניסיונות רבים אף לוחצים, של האיש אצל מול מכריהם המשותפים של הצדדים על מנת שיסייעו לו לדבר על ליבה של האישה, חלקם העידו בהליך זה, כך שנעשה ניסיון אינטנסיבי מצד האיש לפעול להשבת האישה אל חיקו. כך או כך, אינני מוצאת כי עליי להכריע בכך - סוגיה זו עמדה לפתחו של בית הדין הרבני שדן בתביעת האיש לשלום בית, והתמקדותנו הינה בנקודת הזמן שבה דחה בית הדין את התביעה לשלום בית לאחר שבחן אותה, ואשר ממנה ואילך, כאמור, לא מצאתי עוד  סבירות אובייקטיבית בסירובו של האיש </w:t>
      </w:r>
      <w:proofErr w:type="spellStart"/>
      <w:r>
        <w:rPr>
          <w:rFonts w:ascii="David" w:hAnsi="David"/>
          <w:noProof w:val="0"/>
          <w:rtl/>
        </w:rPr>
        <w:t>ליתן</w:t>
      </w:r>
      <w:proofErr w:type="spellEnd"/>
      <w:r>
        <w:rPr>
          <w:rFonts w:ascii="David" w:hAnsi="David"/>
          <w:noProof w:val="0"/>
          <w:rtl/>
        </w:rPr>
        <w:t xml:space="preserve"> גט מנימוק זה, וזאת אפילו אם אניח – לצורך העניין – שרצונו הסובייקטיבי של האיש בשלום בית היה כן ותם לב לכל אורך ההליכים.  </w:t>
      </w:r>
    </w:p>
    <w:p w:rsidR="006B2493" w:rsidRDefault="006B2493" w:rsidP="006B2493">
      <w:pPr>
        <w:spacing w:line="360" w:lineRule="auto"/>
        <w:jc w:val="both"/>
        <w:rPr>
          <w:rFonts w:ascii="David" w:hAnsi="David"/>
          <w:noProof w:val="0"/>
          <w:rtl/>
        </w:rPr>
      </w:pPr>
    </w:p>
    <w:p w:rsidR="006B2493" w:rsidRDefault="006B2493" w:rsidP="006B1227">
      <w:pPr>
        <w:pStyle w:val="a5"/>
        <w:numPr>
          <w:ilvl w:val="0"/>
          <w:numId w:val="1"/>
        </w:numPr>
        <w:spacing w:line="360" w:lineRule="auto"/>
        <w:jc w:val="both"/>
        <w:rPr>
          <w:rFonts w:ascii="David" w:hAnsi="David"/>
          <w:noProof w:val="0"/>
          <w:rtl/>
        </w:rPr>
      </w:pPr>
      <w:r>
        <w:rPr>
          <w:rFonts w:ascii="David" w:hAnsi="David"/>
          <w:noProof w:val="0"/>
          <w:rtl/>
        </w:rPr>
        <w:t xml:space="preserve">טענות האיש כי פסק הדין הנזכר של בית הדין הרבני לא היה חלוט, והאיש הגיש עליו ערעור, או כי פסק הדין ניתן "רק" ברוב דעות ולא פה אחד או כי מבחינה הלכתית "המלצה" אין דינה כ"חיוב", ומשכך הוא לא היה חייב לתת לאישה גט גם לאחר שמיעת ההמלצה – כל אלו אין בהם לשנות מסקנתי. בנקודה זו אשוב ואזכיר את המתווה הנזכר </w:t>
      </w:r>
      <w:proofErr w:type="spellStart"/>
      <w:r>
        <w:rPr>
          <w:rFonts w:ascii="David" w:hAnsi="David"/>
          <w:noProof w:val="0"/>
          <w:rtl/>
        </w:rPr>
        <w:t>בעמ"ש</w:t>
      </w:r>
      <w:proofErr w:type="spellEnd"/>
      <w:r>
        <w:rPr>
          <w:rFonts w:ascii="David" w:hAnsi="David"/>
          <w:noProof w:val="0"/>
          <w:rtl/>
        </w:rPr>
        <w:t xml:space="preserve"> 63059-02-20, ועל פיו בית המשפט בוחן את התנהגות האיש על פי אמת מידה  אזרחית, על סמך עוולה עצמאית מתוך פקודת </w:t>
      </w:r>
      <w:proofErr w:type="spellStart"/>
      <w:r>
        <w:rPr>
          <w:rFonts w:ascii="David" w:hAnsi="David"/>
          <w:noProof w:val="0"/>
          <w:rtl/>
        </w:rPr>
        <w:t>הנזיקין</w:t>
      </w:r>
      <w:proofErr w:type="spellEnd"/>
      <w:r>
        <w:rPr>
          <w:rFonts w:ascii="David" w:hAnsi="David"/>
          <w:noProof w:val="0"/>
          <w:rtl/>
        </w:rPr>
        <w:t xml:space="preserve">, שאינה תלויה באופן מלא בהליך ההלכתי בפני בית הדין הרבני, אלא משיקה להליך ההלכתי ומתוך כיבוד ערכאות. לפיכך, משעה שמצא בית הדין הרבני כי אין מקום לשלום בית וכי יש להמליץ על גירושין, אזי מנקודת המבט </w:t>
      </w:r>
      <w:r>
        <w:rPr>
          <w:rFonts w:ascii="David" w:hAnsi="David"/>
          <w:noProof w:val="0"/>
          <w:u w:val="single"/>
          <w:rtl/>
        </w:rPr>
        <w:t>האזרחית</w:t>
      </w:r>
      <w:r>
        <w:rPr>
          <w:rFonts w:ascii="David" w:hAnsi="David"/>
          <w:noProof w:val="0"/>
          <w:rtl/>
        </w:rPr>
        <w:t xml:space="preserve"> ובאספקלריה של עוולת הרשלנות הקבועה בפקודת </w:t>
      </w:r>
      <w:proofErr w:type="spellStart"/>
      <w:r>
        <w:rPr>
          <w:rFonts w:ascii="David" w:hAnsi="David"/>
          <w:noProof w:val="0"/>
          <w:rtl/>
        </w:rPr>
        <w:t>הנזיקין</w:t>
      </w:r>
      <w:proofErr w:type="spellEnd"/>
      <w:r>
        <w:rPr>
          <w:rFonts w:ascii="David" w:hAnsi="David"/>
          <w:noProof w:val="0"/>
          <w:rtl/>
        </w:rPr>
        <w:t xml:space="preserve">– הרי שאדם סביר היה פועל בהתאם להמלצה ומבין כי מנקודה זו אין מקום להמשיך בסירוב הגט, וזאת אף אם מבחינה הלכתית עוד ניתן לערור על פסק הדין או שעדיין אין בו חיוב כדי כפייה בסנקציות. יתר על כן, הערעור שהגיש על פסק הדין של בית הדין האזורי ממילא נדחה, וגם אז נותר האיש בסירובו, כך שהטענה שפסק הדין הממליץ על גירושין לא היה חלוט או ניתן עם דעת מיעוט – הינה טענה הגובלת בחוסר תום לב. </w:t>
      </w:r>
    </w:p>
    <w:p w:rsidR="006B2493" w:rsidRDefault="006B2493" w:rsidP="006B2493">
      <w:pPr>
        <w:pStyle w:val="a5"/>
        <w:rPr>
          <w:rFonts w:ascii="David" w:hAnsi="David"/>
          <w:noProof w:val="0"/>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אף אינני מקבלת טענת האיש כי כל עוד לא הוכרז האיש כסרבן גט מבחינה הלכתית בידי בית הדין הרבני, ועל פי הכללים ההלכתיים, אזי אין מקום לתביעה אזרחית בגין סרבנות גט, ועמדתי על הדברים לעיל, לצורך בחינת האחריות בעוולת הרשלנות </w:t>
      </w:r>
      <w:proofErr w:type="spellStart"/>
      <w:r>
        <w:rPr>
          <w:rFonts w:ascii="David" w:hAnsi="David"/>
          <w:noProof w:val="0"/>
          <w:rtl/>
        </w:rPr>
        <w:t>בנזיקין</w:t>
      </w:r>
      <w:proofErr w:type="spellEnd"/>
      <w:r>
        <w:rPr>
          <w:rFonts w:ascii="David" w:hAnsi="David"/>
          <w:noProof w:val="0"/>
          <w:rtl/>
        </w:rPr>
        <w:t xml:space="preserve"> אין חפיפה מלאה והדוקה בין ההליך ההלכתי לבין ההליך האזרחי - הליכים נפרדים אך תוך כיבוד </w:t>
      </w:r>
      <w:r>
        <w:rPr>
          <w:rFonts w:ascii="David" w:hAnsi="David"/>
          <w:noProof w:val="0"/>
          <w:rtl/>
        </w:rPr>
        <w:lastRenderedPageBreak/>
        <w:t xml:space="preserve">ערכאות ובהתאם להערותיו של בית המשפט המחוזי הנכבד </w:t>
      </w:r>
      <w:proofErr w:type="spellStart"/>
      <w:r>
        <w:rPr>
          <w:rFonts w:ascii="David" w:hAnsi="David"/>
          <w:noProof w:val="0"/>
          <w:rtl/>
        </w:rPr>
        <w:t>בעמ"ש</w:t>
      </w:r>
      <w:proofErr w:type="spellEnd"/>
      <w:r>
        <w:rPr>
          <w:rFonts w:ascii="David" w:hAnsi="David"/>
          <w:noProof w:val="0"/>
          <w:rtl/>
        </w:rPr>
        <w:t xml:space="preserve"> 63059-02-20. בנסיבות ענייננו קיים "עוגן" ברור בפסיקתו של בית הדין הרבני הממליץ על גירושין, בפסק דין מנומק, לשם ביסוס תביעה אזרחית בגין רשלנות בשל סירוב במתן גט, אף אם מבחינה הלכתית טרם ננקטו מלוא הצעדים והכלים העומדים לרשות בית הדין הרבני על מנת להגיע לתוצאה המיוחלת של עצם מתן הגט.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אעיר, כי לעיתים מוגשת תביעה בעניין סירוב לתת גט במקביל לניהול הליך הגירושין בבית הדין הרבני, ואו אז מתעורר חשש שמא התביעה האזרחית תשמש אמצעי לחץ במתן הגט וחשש לגט מעושה ופסול. שיקול זה אינו מתקיים בענייננו נוכח העובדה  כי התביעה הוגשה לאחר שכבר ניתן הגט, משכך אין כל חשש שיהיה בהליך זה כדי להשפיע על כשרות הגט.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אשר לטענת האיש כי התביעה הוגשה בחוסר תום לב וכאמצעי לחץ על האיש על מנת שלא ימשיך בתביעה הנגדית שהגיש מטעמו – יתכן כי הגשת התביעה מטעם האיש היא זו שדרבנה את האישה מטעמה להגיש תביעה זו, "טריגר" שהניע את האישה לפעולה, כפי שהיא עצמה הסבירה מיוזמתה את שיקוליה ברישה לכתב תביעתה; ברם לא מצאתי כי התביעה איננה כנה, או כי האישה ניהלה את התביעה בחוסר תום לב, ומעבר לכך, מצאתי את התביעה מוצדקת לגופה. משכך, העובדה שהאישה מחלה למשך תקופה על זכותה לברר את טענותיה ולא יזמה הגשת תביעה לפיצויים במטרה להמשיך בחייה – לא תעמוד בעוכריה.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לא מצאתי לקבל את דרישת האישה כי החיוב בפיצוי יחול עוד קודם לכן, למן הגשת התביעה לגירושין, בין היתר מנימוק כי האיש "משך הליכים" בבית הדין הרבני בחוסר תום לב. ראשית, ובהתאם למתווה שנקבע בפסק הדין של בית המשפט המחוזי </w:t>
      </w:r>
      <w:proofErr w:type="spellStart"/>
      <w:r>
        <w:rPr>
          <w:rFonts w:ascii="David" w:hAnsi="David"/>
          <w:noProof w:val="0"/>
          <w:rtl/>
        </w:rPr>
        <w:t>בעמ"ש</w:t>
      </w:r>
      <w:proofErr w:type="spellEnd"/>
      <w:r>
        <w:rPr>
          <w:rFonts w:ascii="David" w:hAnsi="David"/>
          <w:noProof w:val="0"/>
          <w:rtl/>
        </w:rPr>
        <w:t xml:space="preserve"> 63059-02-20 ראוי כי ככלל קביעה אזרחית בדבר סרבנות גט תלווה בפסק דין של בית הדין הרבני שסבור שעל הצדדים להתגרש, כעוגן, ומן הנימוקים שפורטו לעיל. משכך, בהעדר נסיבות יוצאות דופן, לא מצאתי כי ראוי במקרה הנדון לקבוע סרבנות גט ביחס לתקופה שקדמה לפסק הדין הממליץ על גירושי הצדדים. באשר ל"משיכת ההליכים", אכן ראיתי בקשות </w:t>
      </w:r>
      <w:r>
        <w:rPr>
          <w:rFonts w:ascii="David" w:hAnsi="David"/>
          <w:noProof w:val="0"/>
          <w:u w:val="single"/>
          <w:rtl/>
        </w:rPr>
        <w:t>רבות</w:t>
      </w:r>
      <w:r>
        <w:rPr>
          <w:rFonts w:ascii="David" w:hAnsi="David"/>
          <w:noProof w:val="0"/>
          <w:rtl/>
        </w:rPr>
        <w:t xml:space="preserve"> מטעם האיש לדחיית מועדים (צורפו לתצהיר האישה) אך רובן ביחס לתקופה שלאחר פסק הדין משנת 2015, וגם לא נעלמה מעיניי טענת התובעת עצמה, בסעיף 41 לכתב התביעה, על התמשכות ההליכים כתוצאה מהתנהלות בית הדין עצמו, אף ללא קשר להתנהלות האיש, ומשכך אין בידי לקבוע כי עד למתן פסק הדין הנזכר התנהלותו של האיש חרגה ממתחם הסבירות והלגיטימיות באופן המקים לו אחריות </w:t>
      </w:r>
      <w:proofErr w:type="spellStart"/>
      <w:r>
        <w:rPr>
          <w:rFonts w:ascii="David" w:hAnsi="David"/>
          <w:noProof w:val="0"/>
          <w:rtl/>
        </w:rPr>
        <w:t>בנזיקין</w:t>
      </w:r>
      <w:proofErr w:type="spellEnd"/>
      <w:r>
        <w:rPr>
          <w:rFonts w:ascii="David" w:hAnsi="David"/>
          <w:noProof w:val="0"/>
          <w:rtl/>
        </w:rPr>
        <w:t xml:space="preserve"> כבר בתקופה זו.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טרם שאעבור לשאלת הנזק, אוסיף כי לא מצאתי לקבל את תביעת האישה ביחס לעוולה של הפרת חובה חקוקה. להבדיל ובשונה מעוולת הרשלנות, החובה החקוקה קשורה בהוראה מחייבת של בית הדין הרבני, והתובעת עצמה מתייחסת לפסק הדין של בית הדין הרבני המחייב את האיש במתן גט (סעיף 68 לכתב התביעה). לצורך התקיימות כל יסודותיה של עוולה זו לא די, כך לפי סברתי, בפסק הדין הממליץ על מתן הגט, ואכן נדרשת הוראה מחייבת. פסק הדין של בית הדין הרבני הכולל חיוב ניתן ביום 30.4.2017, והגט </w:t>
      </w:r>
      <w:r>
        <w:rPr>
          <w:rFonts w:ascii="David" w:hAnsi="David"/>
          <w:noProof w:val="0"/>
          <w:rtl/>
        </w:rPr>
        <w:lastRenderedPageBreak/>
        <w:t>סודר ביום 6.7.2017, משמע כחודשיים ושבוע לאחר מכן, שבהם ניסה האיש לערור על הפסיקה, אין מדובר בעיכוב משמעותי</w:t>
      </w:r>
      <w:r>
        <w:rPr>
          <w:rFonts w:ascii="David" w:hAnsi="David"/>
          <w:color w:val="000000"/>
          <w:sz w:val="28"/>
          <w:szCs w:val="28"/>
          <w:rtl/>
        </w:rPr>
        <w:t xml:space="preserve">, </w:t>
      </w:r>
      <w:r>
        <w:rPr>
          <w:rFonts w:ascii="David" w:hAnsi="David"/>
          <w:noProof w:val="0"/>
          <w:rtl/>
        </w:rPr>
        <w:t>ובנסיבות אלו לא מצאתי התקיימותה של העוולה. למען הסר ספק, אין בכך לגרוע מתחולתה של עוולה הרשלנות בענייננו, אשר יסודותיה שונים ומהותה אחרת.</w:t>
      </w:r>
    </w:p>
    <w:p w:rsidR="006B2493" w:rsidRDefault="006B2493" w:rsidP="006B2493">
      <w:pPr>
        <w:spacing w:line="360" w:lineRule="auto"/>
        <w:jc w:val="both"/>
        <w:rPr>
          <w:rFonts w:ascii="David" w:hAnsi="David"/>
          <w:noProof w:val="0"/>
          <w:rtl/>
        </w:rPr>
      </w:pPr>
    </w:p>
    <w:p w:rsidR="006B2493" w:rsidRDefault="006B2493" w:rsidP="006B2493">
      <w:pPr>
        <w:spacing w:line="360" w:lineRule="auto"/>
        <w:jc w:val="both"/>
        <w:rPr>
          <w:rFonts w:ascii="David" w:hAnsi="David"/>
          <w:noProof w:val="0"/>
          <w:rtl/>
        </w:rPr>
      </w:pPr>
    </w:p>
    <w:p w:rsidR="006B2493" w:rsidRDefault="006B2493" w:rsidP="006B2493">
      <w:pPr>
        <w:pStyle w:val="a5"/>
        <w:spacing w:line="360" w:lineRule="auto"/>
        <w:jc w:val="both"/>
        <w:rPr>
          <w:rFonts w:ascii="David" w:hAnsi="David"/>
          <w:b/>
          <w:bCs/>
          <w:noProof w:val="0"/>
          <w:u w:val="single"/>
          <w:rtl/>
        </w:rPr>
      </w:pPr>
      <w:r>
        <w:rPr>
          <w:rFonts w:ascii="David" w:hAnsi="David"/>
          <w:b/>
          <w:bCs/>
          <w:noProof w:val="0"/>
          <w:u w:val="single"/>
          <w:rtl/>
        </w:rPr>
        <w:t>הנזק ושיעורו</w:t>
      </w:r>
    </w:p>
    <w:p w:rsidR="006B2493" w:rsidRDefault="006B2493" w:rsidP="006B2493">
      <w:pPr>
        <w:pStyle w:val="a5"/>
        <w:spacing w:line="360" w:lineRule="auto"/>
        <w:jc w:val="both"/>
        <w:rPr>
          <w:rFonts w:ascii="David" w:hAnsi="David"/>
          <w:b/>
          <w:bCs/>
          <w:noProof w:val="0"/>
          <w:u w:val="single"/>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תמהתי על טענת האיש כי לא נגרם לאישה כל נזק היות שממילא אינה בזוגיות ולא נישאה עד היום, גם לאחר שניתן לה גטה. טענה זו נובעת מראיה צרה-מאוד המתעלמת מן העיקר שבעיקרים: הפגיעה בחירותה הבסיסית של האישה, כאדם, לחופש, לכבוד, לאוטונומיה וזכותה שלא להיות כבולה בקשר נישואין שהיא איננה חפצה בו, ואשר הפך למסגרת ריקה וחלולה ללא כל תוכן </w:t>
      </w:r>
      <w:proofErr w:type="spellStart"/>
      <w:r>
        <w:rPr>
          <w:rFonts w:ascii="David" w:hAnsi="David"/>
          <w:noProof w:val="0"/>
          <w:rtl/>
        </w:rPr>
        <w:t>אמיתי</w:t>
      </w:r>
      <w:proofErr w:type="spellEnd"/>
      <w:r>
        <w:rPr>
          <w:rFonts w:ascii="David" w:hAnsi="David"/>
          <w:noProof w:val="0"/>
          <w:rtl/>
        </w:rPr>
        <w:t xml:space="preserve">.  כשנתיים וחצי חלפו מאז המליץ בית הדין הרבני על גירושי הצדדים תוך דחיית תביעת האיש לחייב את האישה בהליך לשלום בית (2.2015), ועד אשר סודר לבסוף הגט המיוחל (7.2017), תקופה שבה נמנעה מן האישה האפשרות לפתוח דף חדש, להתוות את דרכה ולעצב את חייה, וכשהיא נאלצת להיות תלויה בהסכמתו של אדם אחר, ולהיות כשבויה בכבלי הנישואין עמו בניגוד לרצונה, תוך שהיא נאלצת </w:t>
      </w:r>
      <w:proofErr w:type="spellStart"/>
      <w:r>
        <w:rPr>
          <w:rFonts w:ascii="David" w:hAnsi="David"/>
          <w:noProof w:val="0"/>
          <w:rtl/>
        </w:rPr>
        <w:t>להאבק</w:t>
      </w:r>
      <w:proofErr w:type="spellEnd"/>
      <w:r>
        <w:rPr>
          <w:rFonts w:ascii="David" w:hAnsi="David"/>
          <w:noProof w:val="0"/>
          <w:rtl/>
        </w:rPr>
        <w:t xml:space="preserve"> בהליכים משפטיים על זכותה להיות אדם חופשי. </w:t>
      </w:r>
    </w:p>
    <w:p w:rsidR="006B2493" w:rsidRDefault="006B2493" w:rsidP="006B2493">
      <w:pPr>
        <w:spacing w:line="360" w:lineRule="auto"/>
        <w:jc w:val="both"/>
        <w:rPr>
          <w:rFonts w:ascii="David" w:hAnsi="David"/>
          <w:noProof w:val="0"/>
          <w:rtl/>
        </w:rPr>
      </w:pPr>
    </w:p>
    <w:p w:rsidR="006B2493" w:rsidRDefault="006B2493" w:rsidP="006B2493">
      <w:pPr>
        <w:pStyle w:val="a5"/>
        <w:spacing w:line="360" w:lineRule="auto"/>
        <w:jc w:val="both"/>
        <w:rPr>
          <w:rFonts w:ascii="David" w:hAnsi="David"/>
          <w:noProof w:val="0"/>
          <w:rtl/>
        </w:rPr>
      </w:pPr>
      <w:r>
        <w:rPr>
          <w:rFonts w:ascii="David" w:hAnsi="David"/>
          <w:rtl/>
        </w:rPr>
        <w:t>"</w:t>
      </w:r>
      <w:r>
        <w:rPr>
          <w:rFonts w:ascii="David" w:hAnsi="David"/>
          <w:b/>
          <w:bCs/>
          <w:rtl/>
        </w:rPr>
        <w:t xml:space="preserve">תופעת סרבנות הגט היא קשה ומורכבת ולצערנו אינה חדשה לנו. היא כרוכה בפגיעה קשה וכואבת באישה הנותרת כבולה לנישואין שאין היא מעוניינת בהם עוד: חירותה נפגעת, כבודה ורגשותיה נפגעים וזכותה לחיי משפחה נפגעת גם היא - זכויות אלו הוכרו בשיטתנו כולן כזכויות הנהנות ממעמד חוקתי וראשון במעלה ... בתוך כך נפגעת גם זכותה של האישה לאוטונומיה, זכותה של האישה להגשים עצמה כאדם חופשי, זכותה לבחור את גורלה, לכתוב את סיפור חייה - להחליט, היא ורק היא, האם ומתי יבוא על סיומו קשר נישואין שאין היא רוצה בו עוד והאם ומתי תבחר לקשור עצמה בקשר כזה בשנית" </w:t>
      </w:r>
      <w:r>
        <w:rPr>
          <w:rFonts w:ascii="David" w:hAnsi="David"/>
          <w:noProof w:val="0"/>
          <w:rtl/>
        </w:rPr>
        <w:t>(בג"צ 2123/08, 6.7.2008 פסקה 17 לפסק הדין).</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לא זו בלבד, בתקופה זו נאלצה האישה לחיות תחת עננה של הליכים משפטיים ממושכים, בין דיון אחד למשנהו, על כל המשתמע מכך.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לא הונחו בפניי ראיות על נזקים </w:t>
      </w:r>
      <w:r>
        <w:rPr>
          <w:rFonts w:ascii="David" w:hAnsi="David"/>
          <w:noProof w:val="0"/>
          <w:u w:val="single"/>
          <w:rtl/>
        </w:rPr>
        <w:t>ממוניים</w:t>
      </w:r>
      <w:r>
        <w:rPr>
          <w:rFonts w:ascii="David" w:hAnsi="David"/>
          <w:noProof w:val="0"/>
          <w:rtl/>
        </w:rPr>
        <w:t xml:space="preserve"> בגין הוצאותיה של האישה בהליכים בפני בית הדין הרבני, והתביעה נדחית ביחס לראש נזק זה (ואף נראה כי הטענות בכיוון זה ננטשו במהלך ההליך).</w:t>
      </w:r>
    </w:p>
    <w:p w:rsidR="006B2493" w:rsidRDefault="006B2493" w:rsidP="006B2493">
      <w:pPr>
        <w:pStyle w:val="a5"/>
        <w:spacing w:line="360" w:lineRule="auto"/>
        <w:jc w:val="both"/>
        <w:rPr>
          <w:rFonts w:ascii="David" w:hAnsi="David"/>
          <w:noProof w:val="0"/>
        </w:rPr>
      </w:pPr>
    </w:p>
    <w:p w:rsidR="006B2493" w:rsidRDefault="006B2493" w:rsidP="006B2493">
      <w:pPr>
        <w:pStyle w:val="a3"/>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באשר לתביעת האישה לפיצוי בסך 5,000 ₪ לחודש בגין נזקיה </w:t>
      </w:r>
      <w:r>
        <w:rPr>
          <w:rFonts w:ascii="David" w:hAnsi="David" w:cs="David"/>
          <w:u w:val="single"/>
          <w:rtl/>
        </w:rPr>
        <w:t>הבלתי ממוניים</w:t>
      </w:r>
      <w:r>
        <w:rPr>
          <w:rFonts w:ascii="David" w:hAnsi="David" w:cs="David"/>
          <w:rtl/>
        </w:rPr>
        <w:t xml:space="preserve">, פגיעה בכבודה, באיכות חייה, עוגמת נפש, ומניעת חירותה </w:t>
      </w:r>
      <w:proofErr w:type="spellStart"/>
      <w:r>
        <w:rPr>
          <w:rFonts w:ascii="David" w:hAnsi="David" w:cs="David"/>
          <w:rtl/>
        </w:rPr>
        <w:t>סבורתני</w:t>
      </w:r>
      <w:proofErr w:type="spellEnd"/>
      <w:r>
        <w:rPr>
          <w:rFonts w:ascii="David" w:hAnsi="David" w:cs="David"/>
          <w:rtl/>
        </w:rPr>
        <w:t xml:space="preserve"> כי הינה בשיעור סביר והולם את נסיבות המקרה, בין היתר בהתחשב בכך שמדובר בסרבנות של גבר כלפי אישה (ומאחר </w:t>
      </w:r>
      <w:r>
        <w:rPr>
          <w:rFonts w:ascii="David" w:hAnsi="David" w:cs="David"/>
          <w:rtl/>
        </w:rPr>
        <w:lastRenderedPageBreak/>
        <w:t>שאין אישה, בניגוד לגבר, יכולה ליטול היתר מאה רבנים מבית הדין הרבני) ואף בהיותה אישה דתיה.</w:t>
      </w:r>
    </w:p>
    <w:p w:rsidR="006B2493" w:rsidRDefault="006B2493" w:rsidP="006B2493">
      <w:pPr>
        <w:pStyle w:val="a5"/>
        <w:spacing w:line="360" w:lineRule="auto"/>
        <w:jc w:val="both"/>
        <w:rPr>
          <w:rFonts w:ascii="David" w:hAnsi="David"/>
          <w:noProof w:val="0"/>
        </w:rPr>
      </w:pPr>
    </w:p>
    <w:p w:rsidR="006B2493" w:rsidRDefault="006B2493" w:rsidP="006B2493">
      <w:pPr>
        <w:pStyle w:val="a5"/>
        <w:spacing w:line="360" w:lineRule="auto"/>
        <w:jc w:val="both"/>
        <w:rPr>
          <w:rFonts w:ascii="David" w:hAnsi="David"/>
          <w:b/>
          <w:bCs/>
          <w:noProof w:val="0"/>
        </w:rPr>
      </w:pPr>
      <w:r>
        <w:rPr>
          <w:rFonts w:ascii="David" w:hAnsi="David"/>
          <w:b/>
          <w:bCs/>
        </w:rPr>
        <w:t>"</w:t>
      </w:r>
      <w:r>
        <w:rPr>
          <w:rFonts w:ascii="David" w:hAnsi="David"/>
          <w:b/>
          <w:bCs/>
          <w:rtl/>
        </w:rPr>
        <w:t>מקום בו האיש עתר לנזק בלתי ממוני כללי ולא טען לנזקים ממוניים שנגרמו לו, הרי שיש להעריך את הנזק על פי אומדנה; בשל טיבו וטבעו של נזק כללי שאינו ממוני, קשה הוא לכימות. פסיקות בתי המשפט בתביעות בגין סרבנות גט יישמו את ההלכה שנקבעה ב</w:t>
      </w:r>
      <w:hyperlink r:id="rId10" w:history="1">
        <w:r>
          <w:rPr>
            <w:rStyle w:val="Hyperlink"/>
            <w:rFonts w:ascii="David" w:hAnsi="David"/>
            <w:b/>
            <w:bCs/>
            <w:color w:val="auto"/>
            <w:u w:val="none"/>
            <w:rtl/>
          </w:rPr>
          <w:t>ע"א 1730/92</w:t>
        </w:r>
      </w:hyperlink>
      <w:r>
        <w:rPr>
          <w:rFonts w:ascii="David" w:hAnsi="David"/>
          <w:b/>
          <w:bCs/>
          <w:rtl/>
        </w:rPr>
        <w:t> מצראווה נ' מצראווה (1995), לפיה אין צורך בראיה על הנזק הכללי והיקפו, שכן קיומו של הנזק והיקפו עולים מעצם הפרת החובה על ידי המזיק. משכך - אף בהעדר ראיות על נזק ממשי, יש מקום לפסוק לאיש פיצוי בגין נזק כללי בשל היותו מסורב גט - זאת נוכח הטעמים להם טען, המלמדים על פגיעה בזכותו לעצב את סיפור חייו, לקשור זוגיות אחרת ולסיים נישואין בהם אינו מעוניין. הערכת הפיצויים בגין נזק לא ממוני משימה קשה היא, הן בשל הקושי האינטלקטואלי שביסוד ראש נזק זה והן בשל הקושי לתרגם לערכים כספיים את שיעורו של נזק מסוג זה. ראו</w:t>
      </w:r>
      <w:r>
        <w:rPr>
          <w:rFonts w:ascii="David" w:hAnsi="David"/>
          <w:b/>
          <w:bCs/>
        </w:rPr>
        <w:t>: </w:t>
      </w:r>
      <w:hyperlink r:id="rId11" w:history="1">
        <w:r>
          <w:rPr>
            <w:rStyle w:val="Hyperlink"/>
            <w:rFonts w:ascii="David" w:hAnsi="David"/>
            <w:b/>
            <w:bCs/>
            <w:color w:val="auto"/>
            <w:u w:val="none"/>
            <w:rtl/>
          </w:rPr>
          <w:t>ע"א 70/52</w:t>
        </w:r>
      </w:hyperlink>
      <w:r>
        <w:rPr>
          <w:rFonts w:ascii="David" w:hAnsi="David"/>
          <w:b/>
          <w:bCs/>
        </w:rPr>
        <w:t> </w:t>
      </w:r>
      <w:r>
        <w:rPr>
          <w:rFonts w:ascii="David" w:hAnsi="David"/>
          <w:b/>
          <w:bCs/>
          <w:rtl/>
        </w:rPr>
        <w:t>גרוסמן נ' רוט</w:t>
      </w:r>
      <w:r>
        <w:rPr>
          <w:rFonts w:ascii="David" w:hAnsi="David"/>
          <w:b/>
          <w:bCs/>
        </w:rPr>
        <w:t xml:space="preserve">, </w:t>
      </w:r>
      <w:r>
        <w:rPr>
          <w:rFonts w:ascii="David" w:hAnsi="David"/>
          <w:b/>
          <w:bCs/>
          <w:rtl/>
        </w:rPr>
        <w:t>פ"ד ו 1242, 1254</w:t>
      </w:r>
      <w:r>
        <w:rPr>
          <w:rFonts w:ascii="David" w:hAnsi="David"/>
          <w:b/>
          <w:bCs/>
        </w:rPr>
        <w:t xml:space="preserve"> (1952); </w:t>
      </w:r>
      <w:hyperlink r:id="rId12" w:history="1">
        <w:r>
          <w:rPr>
            <w:rStyle w:val="Hyperlink"/>
            <w:rFonts w:ascii="David" w:hAnsi="David"/>
            <w:b/>
            <w:bCs/>
            <w:color w:val="auto"/>
            <w:u w:val="none"/>
            <w:rtl/>
          </w:rPr>
          <w:t>ע"א 6978/96</w:t>
        </w:r>
      </w:hyperlink>
      <w:r>
        <w:rPr>
          <w:rFonts w:ascii="David" w:hAnsi="David"/>
          <w:b/>
          <w:bCs/>
        </w:rPr>
        <w:t> </w:t>
      </w:r>
      <w:r>
        <w:rPr>
          <w:rFonts w:ascii="David" w:hAnsi="David"/>
          <w:b/>
          <w:bCs/>
          <w:rtl/>
        </w:rPr>
        <w:t>עמר נ' כללית</w:t>
      </w:r>
      <w:r>
        <w:rPr>
          <w:rFonts w:ascii="David" w:hAnsi="David"/>
          <w:b/>
          <w:bCs/>
        </w:rPr>
        <w:t xml:space="preserve">, </w:t>
      </w:r>
      <w:r>
        <w:rPr>
          <w:rFonts w:ascii="David" w:hAnsi="David"/>
          <w:b/>
          <w:bCs/>
          <w:rtl/>
        </w:rPr>
        <w:t>פ"ד נה (1) 920, 930</w:t>
      </w:r>
      <w:r>
        <w:rPr>
          <w:rFonts w:ascii="David" w:hAnsi="David"/>
          <w:b/>
          <w:bCs/>
        </w:rPr>
        <w:t xml:space="preserve"> (1999); </w:t>
      </w:r>
      <w:hyperlink r:id="rId13" w:history="1">
        <w:r>
          <w:rPr>
            <w:rStyle w:val="Hyperlink"/>
            <w:rFonts w:ascii="David" w:hAnsi="David"/>
            <w:b/>
            <w:bCs/>
            <w:color w:val="auto"/>
            <w:u w:val="none"/>
            <w:rtl/>
          </w:rPr>
          <w:t>ע"א 7130/01</w:t>
        </w:r>
      </w:hyperlink>
      <w:r>
        <w:rPr>
          <w:rFonts w:ascii="David" w:hAnsi="David"/>
          <w:b/>
          <w:bCs/>
        </w:rPr>
        <w:t> </w:t>
      </w:r>
      <w:r>
        <w:rPr>
          <w:rFonts w:ascii="David" w:hAnsi="David"/>
          <w:b/>
          <w:bCs/>
          <w:rtl/>
        </w:rPr>
        <w:t>סולל בונה נ' תנעמי</w:t>
      </w:r>
      <w:r>
        <w:rPr>
          <w:rFonts w:ascii="David" w:hAnsi="David"/>
          <w:b/>
          <w:bCs/>
        </w:rPr>
        <w:t xml:space="preserve">, </w:t>
      </w:r>
      <w:r>
        <w:rPr>
          <w:rFonts w:ascii="David" w:hAnsi="David"/>
          <w:b/>
          <w:bCs/>
          <w:rtl/>
        </w:rPr>
        <w:t>פ"ד נח (1) 1, 27 (2003). בה בעת, העיקרון של החזרת המצב לקדמותו, חולש גם על ראש נזק זה ומחייב, על כן, פיצוי הולם בגינו. ראו</w:t>
      </w:r>
      <w:r>
        <w:rPr>
          <w:rFonts w:ascii="David" w:hAnsi="David"/>
          <w:b/>
          <w:bCs/>
        </w:rPr>
        <w:t>: </w:t>
      </w:r>
      <w:hyperlink r:id="rId14" w:history="1">
        <w:r>
          <w:rPr>
            <w:rStyle w:val="Hyperlink"/>
            <w:rFonts w:ascii="David" w:hAnsi="David"/>
            <w:b/>
            <w:bCs/>
            <w:color w:val="auto"/>
            <w:u w:val="none"/>
            <w:rtl/>
          </w:rPr>
          <w:t>ע"א 1081/00</w:t>
        </w:r>
      </w:hyperlink>
      <w:r>
        <w:rPr>
          <w:rFonts w:ascii="David" w:hAnsi="David"/>
          <w:b/>
          <w:bCs/>
        </w:rPr>
        <w:t> </w:t>
      </w:r>
      <w:r>
        <w:rPr>
          <w:rFonts w:ascii="David" w:hAnsi="David"/>
          <w:b/>
          <w:bCs/>
          <w:rtl/>
        </w:rPr>
        <w:t>אבנעל נ' מדינת ישראל</w:t>
      </w:r>
      <w:r>
        <w:rPr>
          <w:rFonts w:ascii="David" w:hAnsi="David"/>
          <w:b/>
          <w:bCs/>
        </w:rPr>
        <w:t xml:space="preserve">, </w:t>
      </w:r>
      <w:r>
        <w:rPr>
          <w:rFonts w:ascii="David" w:hAnsi="David"/>
          <w:b/>
          <w:bCs/>
          <w:rtl/>
        </w:rPr>
        <w:t>פ"ד נט(5) 193, 206</w:t>
      </w:r>
      <w:r>
        <w:rPr>
          <w:rFonts w:ascii="David" w:hAnsi="David"/>
          <w:b/>
          <w:bCs/>
        </w:rPr>
        <w:t xml:space="preserve"> (2005).</w:t>
      </w:r>
      <w:r>
        <w:rPr>
          <w:rFonts w:ascii="David" w:hAnsi="David"/>
          <w:b/>
          <w:bCs/>
          <w:noProof w:val="0"/>
          <w:rtl/>
        </w:rPr>
        <w:t xml:space="preserve">" </w:t>
      </w:r>
    </w:p>
    <w:p w:rsidR="006B2493" w:rsidRDefault="006B2493" w:rsidP="006B2493">
      <w:pPr>
        <w:pStyle w:val="a5"/>
        <w:spacing w:line="360" w:lineRule="auto"/>
        <w:jc w:val="both"/>
        <w:rPr>
          <w:rFonts w:ascii="David" w:hAnsi="David"/>
          <w:noProof w:val="0"/>
          <w:rtl/>
        </w:rPr>
      </w:pPr>
      <w:r>
        <w:rPr>
          <w:rFonts w:ascii="David" w:hAnsi="David"/>
          <w:b/>
          <w:bCs/>
          <w:rtl/>
        </w:rPr>
        <w:t>(ר' תלהמ (י-ם) 50420-02-20‏   ר.א נ' מ.א</w:t>
      </w:r>
      <w:r>
        <w:rPr>
          <w:rFonts w:ascii="David" w:hAnsi="David"/>
          <w:noProof w:val="0"/>
          <w:rtl/>
        </w:rPr>
        <w:t xml:space="preserve"> (3.1.2022))</w:t>
      </w:r>
    </w:p>
    <w:p w:rsidR="006B2493" w:rsidRDefault="006B2493" w:rsidP="006B2493">
      <w:pPr>
        <w:pStyle w:val="a3"/>
        <w:bidi/>
        <w:spacing w:before="0" w:beforeAutospacing="0" w:after="0" w:afterAutospacing="0" w:line="360" w:lineRule="auto"/>
        <w:ind w:left="720"/>
        <w:jc w:val="both"/>
        <w:rPr>
          <w:rFonts w:ascii="David" w:hAnsi="David" w:cs="David"/>
          <w:rtl/>
        </w:rPr>
      </w:pPr>
    </w:p>
    <w:p w:rsidR="006B2493" w:rsidRDefault="006B2493" w:rsidP="006B2493">
      <w:pPr>
        <w:pStyle w:val="a5"/>
        <w:spacing w:line="360" w:lineRule="auto"/>
        <w:jc w:val="both"/>
        <w:rPr>
          <w:rFonts w:ascii="David" w:hAnsi="David"/>
          <w:noProof w:val="0"/>
        </w:rPr>
      </w:pPr>
      <w:r>
        <w:rPr>
          <w:rFonts w:ascii="David" w:hAnsi="David"/>
          <w:b/>
          <w:bCs/>
          <w:rtl/>
        </w:rPr>
        <w:t>בעמש (חי') 23464-10-09‏ ‏ א' ש' נ' ד' ש'‏</w:t>
      </w:r>
      <w:r>
        <w:rPr>
          <w:rFonts w:ascii="David" w:hAnsi="David"/>
          <w:noProof w:val="0"/>
          <w:rtl/>
        </w:rPr>
        <w:t xml:space="preserve"> סקר בית המשפט את פסיקת בית המשפט בסוגיות הנוגעות לשיעור הפיצוי. אמנם, מדובר בפסק דין שניתן זה מכבר, אך יכול לשמש אותנו כאבן בוחן:</w:t>
      </w:r>
    </w:p>
    <w:p w:rsidR="006B2493" w:rsidRDefault="006B2493" w:rsidP="006B2493">
      <w:pPr>
        <w:pStyle w:val="a5"/>
        <w:spacing w:line="360" w:lineRule="auto"/>
        <w:rPr>
          <w:rFonts w:ascii="David" w:hAnsi="David"/>
          <w:noProof w:val="0"/>
        </w:rPr>
      </w:pPr>
    </w:p>
    <w:p w:rsidR="006B2493" w:rsidRDefault="006B2493" w:rsidP="006B2493">
      <w:pPr>
        <w:pStyle w:val="a5"/>
        <w:spacing w:before="100" w:line="360" w:lineRule="auto"/>
        <w:jc w:val="both"/>
        <w:rPr>
          <w:rFonts w:ascii="David" w:hAnsi="David"/>
          <w:b/>
          <w:bCs/>
          <w:noProof w:val="0"/>
          <w:rtl/>
        </w:rPr>
      </w:pPr>
      <w:r>
        <w:rPr>
          <w:rFonts w:ascii="David" w:hAnsi="David"/>
          <w:b/>
          <w:bCs/>
          <w:rtl/>
        </w:rPr>
        <w:t>". בפסיקת בתי המשפט לענייני משפחה נפסקו סכומים שונים, תלויי נסיבות - אורך התקופה, היות</w:t>
      </w:r>
      <w:r>
        <w:rPr>
          <w:rFonts w:ascii="David" w:hAnsi="David"/>
          <w:b/>
          <w:bCs/>
        </w:rPr>
        <w:t> </w:t>
      </w:r>
      <w:r>
        <w:rPr>
          <w:rFonts w:ascii="David" w:hAnsi="David"/>
          <w:b/>
          <w:bCs/>
          <w:rtl/>
        </w:rPr>
        <w:t>המסורב גבר או אשה, פגיעה בסיכויי האשה להנשא וללדת ילדים ועוד. היתה העדפה ברורה ומובנת של מסורבת הגט לעומת מסורב הגט. הפיצוי הניתן בפסיקה אינו אחיד. קיים חשש של בתי המשפט מפסיקת פיצויים גבוהים מדי שיביאו לפסילתו של הגט כגט מעושה. אזכיר מספר פסקי דין  בהם ניתנו פיצויים: השופט מנחם הכהן פסק ב</w:t>
      </w:r>
      <w:hyperlink r:id="rId15" w:history="1">
        <w:r>
          <w:rPr>
            <w:rStyle w:val="Hyperlink"/>
            <w:rFonts w:ascii="David" w:hAnsi="David"/>
            <w:b/>
            <w:bCs/>
            <w:color w:val="auto"/>
            <w:u w:val="none"/>
            <w:rtl/>
          </w:rPr>
          <w:t>תמ"ש 19270/03</w:t>
        </w:r>
      </w:hyperlink>
      <w:r>
        <w:rPr>
          <w:rFonts w:ascii="David" w:hAnsi="David"/>
          <w:b/>
          <w:bCs/>
          <w:rtl/>
        </w:rPr>
        <w:t> לסרבן גט סך של 200,000 ₪ לכל שנת עגינות ובנוסף 100,000 ₪ פיצויים מוגברים. לעומתו, השופט ויצמן ב</w:t>
      </w:r>
      <w:hyperlink r:id="rId16" w:history="1">
        <w:r>
          <w:rPr>
            <w:rStyle w:val="Hyperlink"/>
            <w:rFonts w:ascii="David" w:hAnsi="David"/>
            <w:b/>
            <w:bCs/>
            <w:color w:val="auto"/>
            <w:u w:val="none"/>
            <w:rtl/>
          </w:rPr>
          <w:t>תמ"ש 19480/05</w:t>
        </w:r>
      </w:hyperlink>
      <w:r>
        <w:rPr>
          <w:rFonts w:ascii="David" w:hAnsi="David"/>
          <w:b/>
          <w:bCs/>
          <w:rtl/>
        </w:rPr>
        <w:t> הביע את דעתו, שיש לאמץ פסיקה סבירה ואחידה בעניין זה, ופסק סך של 3,000 ₪ לחודש (36,000 ₪ לשנה) במקרה קשה של אשה שהיתה עגונה 237 חודשים מיום שחייב בית הדין הרבני את הבעל ליתן גט, ועד לפטירתו. השופט גרינברגר ב</w:t>
      </w:r>
      <w:hyperlink r:id="rId17" w:history="1">
        <w:r>
          <w:rPr>
            <w:rStyle w:val="Hyperlink"/>
            <w:rFonts w:ascii="David" w:hAnsi="David"/>
            <w:b/>
            <w:bCs/>
            <w:color w:val="auto"/>
            <w:u w:val="none"/>
            <w:rtl/>
          </w:rPr>
          <w:t>תמ"ש 6743/02</w:t>
        </w:r>
      </w:hyperlink>
      <w:r>
        <w:rPr>
          <w:rFonts w:ascii="David" w:hAnsi="David"/>
          <w:b/>
          <w:bCs/>
          <w:rtl/>
        </w:rPr>
        <w:t> פסק פיצוי למסורבת גט במשך 8 שנים, בסך של 450,000 ₪ (כ- 56,000 ₪ לשנה) ובנוסף 100,000 ₪ פיצוים מוגברים. השופטת ט' סיון ב</w:t>
      </w:r>
      <w:hyperlink r:id="rId18" w:history="1">
        <w:r>
          <w:rPr>
            <w:rStyle w:val="Hyperlink"/>
            <w:rFonts w:ascii="David" w:hAnsi="David"/>
            <w:b/>
            <w:bCs/>
            <w:color w:val="auto"/>
            <w:u w:val="none"/>
            <w:rtl/>
          </w:rPr>
          <w:t>תמ"ש 24782/98</w:t>
        </w:r>
      </w:hyperlink>
      <w:r>
        <w:rPr>
          <w:rFonts w:ascii="David" w:hAnsi="David"/>
          <w:b/>
          <w:bCs/>
          <w:rtl/>
        </w:rPr>
        <w:t> אימצה את גישתו של השופט ויצמן, וכינתה אותה "פתרון ביניים", עת שחייבה סרבן גט לשלם לאשה סכום של 60,000 ₪ לשנה ובסה"כ 600,000 ₪, ובנוסף פיצויים מוגברים בסך של 100,000 ₪."       </w:t>
      </w:r>
    </w:p>
    <w:p w:rsidR="006B2493" w:rsidRDefault="006B2493" w:rsidP="006B2493">
      <w:pPr>
        <w:pStyle w:val="a3"/>
        <w:bidi/>
        <w:spacing w:before="0" w:beforeAutospacing="0" w:after="0" w:afterAutospacing="0" w:line="360" w:lineRule="auto"/>
        <w:ind w:left="720"/>
        <w:jc w:val="both"/>
        <w:rPr>
          <w:rFonts w:ascii="David" w:hAnsi="David" w:cs="David"/>
        </w:rPr>
      </w:pPr>
    </w:p>
    <w:p w:rsidR="006B2493" w:rsidRDefault="006B2493" w:rsidP="006B2493">
      <w:pPr>
        <w:pStyle w:val="a3"/>
        <w:bidi/>
        <w:spacing w:before="0" w:beforeAutospacing="0" w:after="0" w:afterAutospacing="0" w:line="360" w:lineRule="auto"/>
        <w:ind w:left="720"/>
        <w:jc w:val="both"/>
        <w:rPr>
          <w:rFonts w:ascii="David" w:hAnsi="David" w:cs="David"/>
          <w:rtl/>
        </w:rPr>
      </w:pPr>
      <w:r>
        <w:rPr>
          <w:rFonts w:ascii="David" w:hAnsi="David" w:cs="David"/>
          <w:rtl/>
        </w:rPr>
        <w:lastRenderedPageBreak/>
        <w:t xml:space="preserve">כאמור, בנסיבות העניין, </w:t>
      </w:r>
      <w:proofErr w:type="spellStart"/>
      <w:r>
        <w:rPr>
          <w:rFonts w:ascii="David" w:hAnsi="David" w:cs="David"/>
          <w:rtl/>
        </w:rPr>
        <w:t>סבורתני</w:t>
      </w:r>
      <w:proofErr w:type="spellEnd"/>
      <w:r>
        <w:rPr>
          <w:rFonts w:ascii="David" w:hAnsi="David" w:cs="David"/>
          <w:rtl/>
        </w:rPr>
        <w:t xml:space="preserve"> כי סכום הפיצוי הנתבע הינו סביר, ובפרט מאחר שמדובר בסרבנות של גבר כלפי אשתו. מצאתי אפוא להורות על הפיצוי בשיעור המבוקש במלואו, 5000 ₪ לחודש.</w:t>
      </w:r>
    </w:p>
    <w:p w:rsidR="006B2493" w:rsidRDefault="006B2493" w:rsidP="006B2493">
      <w:pPr>
        <w:pStyle w:val="a3"/>
        <w:bidi/>
        <w:spacing w:before="0" w:beforeAutospacing="0" w:after="0" w:afterAutospacing="0" w:line="360" w:lineRule="auto"/>
        <w:ind w:left="720"/>
        <w:jc w:val="both"/>
        <w:rPr>
          <w:rFonts w:ascii="David" w:hAnsi="David" w:cs="David"/>
        </w:rPr>
      </w:pPr>
    </w:p>
    <w:p w:rsidR="006B2493" w:rsidRDefault="006B2493" w:rsidP="006B2493">
      <w:pPr>
        <w:pStyle w:val="a3"/>
        <w:numPr>
          <w:ilvl w:val="0"/>
          <w:numId w:val="1"/>
        </w:numPr>
        <w:bidi/>
        <w:spacing w:before="0" w:beforeAutospacing="0" w:after="0" w:afterAutospacing="0" w:line="360" w:lineRule="auto"/>
        <w:jc w:val="both"/>
        <w:rPr>
          <w:rFonts w:ascii="David" w:hAnsi="David" w:cs="David"/>
        </w:rPr>
      </w:pPr>
      <w:r>
        <w:rPr>
          <w:rFonts w:ascii="David" w:hAnsi="David" w:cs="David"/>
          <w:rtl/>
        </w:rPr>
        <w:t xml:space="preserve">התקופה הרלבנטית בענייננו הינה מחודש 2.2015 ועד 7.2017 – מדובר בכ-29 חודשים, ומכאן ועל פי סכום התביעה התוצאה היא חיובו של האיש בפיצוי האישה בסך 145,000 ₪ בסה"כ. </w:t>
      </w:r>
    </w:p>
    <w:p w:rsidR="006B2493" w:rsidRDefault="006B2493" w:rsidP="006B2493">
      <w:pPr>
        <w:spacing w:line="360" w:lineRule="auto"/>
        <w:jc w:val="both"/>
        <w:rPr>
          <w:rFonts w:ascii="David" w:hAnsi="David"/>
          <w:noProof w:val="0"/>
        </w:rPr>
      </w:pPr>
    </w:p>
    <w:p w:rsidR="006B2493" w:rsidRDefault="006B2493" w:rsidP="006B2493">
      <w:pPr>
        <w:spacing w:line="360" w:lineRule="auto"/>
        <w:jc w:val="both"/>
        <w:rPr>
          <w:rFonts w:ascii="David" w:hAnsi="David"/>
          <w:noProof w:val="0"/>
          <w:rtl/>
        </w:rPr>
      </w:pPr>
    </w:p>
    <w:p w:rsidR="006B2493" w:rsidRDefault="006B2493" w:rsidP="006B2493">
      <w:pPr>
        <w:pStyle w:val="a5"/>
        <w:spacing w:line="360" w:lineRule="auto"/>
        <w:jc w:val="both"/>
        <w:rPr>
          <w:rFonts w:ascii="David" w:hAnsi="David"/>
          <w:b/>
          <w:bCs/>
          <w:noProof w:val="0"/>
          <w:u w:val="single"/>
          <w:rtl/>
        </w:rPr>
      </w:pPr>
      <w:r>
        <w:rPr>
          <w:rFonts w:ascii="David" w:hAnsi="David"/>
          <w:b/>
          <w:bCs/>
          <w:noProof w:val="0"/>
          <w:u w:val="single"/>
          <w:rtl/>
        </w:rPr>
        <w:t>סוף דבר</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 xml:space="preserve">התביעה מתקבלת על פי כל האמור לעיל ומן הנימוקים שפורטו. האיש </w:t>
      </w:r>
      <w:proofErr w:type="spellStart"/>
      <w:r>
        <w:rPr>
          <w:rFonts w:ascii="David" w:hAnsi="David"/>
          <w:noProof w:val="0"/>
          <w:rtl/>
        </w:rPr>
        <w:t>מחוייב</w:t>
      </w:r>
      <w:proofErr w:type="spellEnd"/>
      <w:r>
        <w:rPr>
          <w:rFonts w:ascii="David" w:hAnsi="David"/>
          <w:noProof w:val="0"/>
          <w:rtl/>
        </w:rPr>
        <w:t xml:space="preserve"> לשלם לאישה פיצוי בסך 145,000 ₪, שישולמו לה במלואם בתוך 60 ימים ממועד המצאת פסק דין זה, ולאחר מועד זה יישא הסכום הפרשי  הצמדה וריבית כחוק. </w:t>
      </w:r>
    </w:p>
    <w:p w:rsidR="006B2493" w:rsidRDefault="006B2493" w:rsidP="006B2493">
      <w:pPr>
        <w:spacing w:line="360" w:lineRule="auto"/>
        <w:jc w:val="both"/>
        <w:rPr>
          <w:rFonts w:ascii="David" w:hAnsi="David"/>
          <w:noProof w:val="0"/>
          <w:rtl/>
        </w:rPr>
      </w:pPr>
    </w:p>
    <w:p w:rsidR="006B2493" w:rsidRDefault="006B2493" w:rsidP="006B2493">
      <w:pPr>
        <w:pStyle w:val="a5"/>
        <w:numPr>
          <w:ilvl w:val="0"/>
          <w:numId w:val="1"/>
        </w:numPr>
        <w:spacing w:line="360" w:lineRule="auto"/>
        <w:jc w:val="both"/>
        <w:rPr>
          <w:rFonts w:ascii="David" w:hAnsi="David"/>
          <w:noProof w:val="0"/>
          <w:rtl/>
        </w:rPr>
      </w:pPr>
      <w:r>
        <w:rPr>
          <w:rFonts w:ascii="David" w:hAnsi="David"/>
          <w:noProof w:val="0"/>
          <w:rtl/>
        </w:rPr>
        <w:t>בנוסף אני מוצאת לחייב את האיש בהוצאות משפט בסך 15,000 ₪, שישולמו לאישה בתוך 30 ימי ממועד המצאת פסק דין זה, ולאחר מועד זה יישא הסכום הפרשי הצמדה וריבית כחוק.</w:t>
      </w:r>
    </w:p>
    <w:p w:rsidR="006B2493" w:rsidRDefault="006B2493" w:rsidP="006B2493">
      <w:pPr>
        <w:spacing w:line="360" w:lineRule="auto"/>
        <w:jc w:val="both"/>
        <w:rPr>
          <w:rFonts w:ascii="David" w:hAnsi="David"/>
          <w:noProof w:val="0"/>
          <w:rtl/>
        </w:rPr>
      </w:pPr>
    </w:p>
    <w:p w:rsidR="006B2493" w:rsidRDefault="006B2493" w:rsidP="006B2493">
      <w:pPr>
        <w:spacing w:line="360" w:lineRule="auto"/>
        <w:jc w:val="both"/>
        <w:rPr>
          <w:rFonts w:ascii="David" w:hAnsi="David"/>
          <w:noProof w:val="0"/>
          <w:rtl/>
        </w:rPr>
      </w:pPr>
    </w:p>
    <w:p w:rsidR="006B2493" w:rsidRDefault="006B2493" w:rsidP="006B2493">
      <w:pPr>
        <w:pStyle w:val="a5"/>
        <w:spacing w:line="360" w:lineRule="auto"/>
        <w:jc w:val="both"/>
        <w:rPr>
          <w:rFonts w:ascii="David" w:hAnsi="David"/>
          <w:noProof w:val="0"/>
          <w:u w:val="single"/>
          <w:rtl/>
        </w:rPr>
      </w:pPr>
      <w:r>
        <w:rPr>
          <w:rFonts w:ascii="David" w:hAnsi="David"/>
          <w:noProof w:val="0"/>
          <w:u w:val="single"/>
          <w:rtl/>
        </w:rPr>
        <w:t xml:space="preserve">המזכירות תודיע לצדדים ותסגור את התיק.  </w:t>
      </w:r>
    </w:p>
    <w:p w:rsidR="006B2493" w:rsidRDefault="006B2493" w:rsidP="006B2493">
      <w:pPr>
        <w:spacing w:line="360" w:lineRule="auto"/>
        <w:ind w:firstLine="720"/>
        <w:jc w:val="both"/>
        <w:rPr>
          <w:rFonts w:ascii="David" w:hAnsi="David"/>
          <w:noProof w:val="0"/>
          <w:rtl/>
        </w:rPr>
      </w:pPr>
      <w:r>
        <w:rPr>
          <w:rFonts w:ascii="David" w:hAnsi="David"/>
          <w:noProof w:val="0"/>
          <w:rtl/>
        </w:rPr>
        <w:t>פסק הדין מותר בפרסום לאחר השמטת פרטים מזהים.</w:t>
      </w:r>
    </w:p>
    <w:p w:rsidR="006B2493" w:rsidRDefault="006B2493" w:rsidP="006B2493">
      <w:pPr>
        <w:spacing w:line="360" w:lineRule="auto"/>
        <w:jc w:val="both"/>
        <w:rPr>
          <w:rFonts w:ascii="David" w:hAnsi="David"/>
          <w:noProof w:val="0"/>
          <w:rtl/>
        </w:rPr>
      </w:pPr>
    </w:p>
    <w:p w:rsidR="006B2493" w:rsidRDefault="006B2493" w:rsidP="006B2493">
      <w:pPr>
        <w:spacing w:line="360" w:lineRule="auto"/>
        <w:jc w:val="both"/>
        <w:rPr>
          <w:rFonts w:ascii="David" w:hAnsi="David"/>
          <w:noProof w:val="0"/>
          <w:rtl/>
        </w:rPr>
      </w:pPr>
    </w:p>
    <w:p w:rsidR="006B2493" w:rsidRDefault="006B2493" w:rsidP="006B2493">
      <w:pPr>
        <w:spacing w:line="360" w:lineRule="auto"/>
        <w:jc w:val="both"/>
        <w:rPr>
          <w:rFonts w:ascii="David" w:hAnsi="David"/>
          <w:noProof w:val="0"/>
          <w:rtl/>
        </w:rPr>
      </w:pPr>
    </w:p>
    <w:p w:rsidR="006B2493" w:rsidRDefault="006B2493" w:rsidP="006B2493">
      <w:pPr>
        <w:spacing w:line="360" w:lineRule="auto"/>
        <w:ind w:firstLine="60"/>
        <w:jc w:val="both"/>
        <w:rPr>
          <w:rFonts w:ascii="David" w:hAnsi="David"/>
          <w:noProof w:val="0"/>
          <w:rtl/>
        </w:rPr>
      </w:pPr>
    </w:p>
    <w:p w:rsidR="006B2493" w:rsidRDefault="006B2493" w:rsidP="006B2493">
      <w:pPr>
        <w:spacing w:line="360" w:lineRule="auto"/>
        <w:ind w:left="360"/>
        <w:jc w:val="both"/>
        <w:rPr>
          <w:rFonts w:ascii="David" w:hAnsi="David"/>
          <w:noProof w:val="0"/>
          <w:rtl/>
        </w:rPr>
      </w:pPr>
      <w:r>
        <w:rPr>
          <w:rFonts w:ascii="David" w:hAnsi="David"/>
          <w:noProof w:val="0"/>
          <w:rtl/>
        </w:rPr>
        <w:t xml:space="preserve">ניתן היום,  </w:t>
      </w:r>
      <w:sdt>
        <w:sdtPr>
          <w:rPr>
            <w:rFonts w:ascii="David" w:hAnsi="David"/>
            <w:noProof w:val="0"/>
            <w:rtl/>
          </w:rPr>
          <w:alias w:val="1455"/>
          <w:tag w:val="1455"/>
          <w:id w:val="550738450"/>
          <w:text w:multiLine="1"/>
        </w:sdtPr>
        <w:sdtEndPr/>
        <w:sdtContent>
          <w:r>
            <w:rPr>
              <w:rFonts w:ascii="David" w:hAnsi="David"/>
              <w:noProof w:val="0"/>
              <w:rtl/>
            </w:rPr>
            <w:t>ה' אדר א' תשפ"ב</w:t>
          </w:r>
        </w:sdtContent>
      </w:sdt>
      <w:r>
        <w:rPr>
          <w:rFonts w:ascii="David" w:hAnsi="David"/>
          <w:noProof w:val="0"/>
          <w:rtl/>
        </w:rPr>
        <w:t xml:space="preserve">, </w:t>
      </w:r>
      <w:sdt>
        <w:sdtPr>
          <w:rPr>
            <w:rFonts w:ascii="David" w:hAnsi="David"/>
            <w:noProof w:val="0"/>
            <w:rtl/>
          </w:rPr>
          <w:alias w:val="1456"/>
          <w:tag w:val="1456"/>
          <w:id w:val="213085585"/>
          <w:text w:multiLine="1"/>
        </w:sdtPr>
        <w:sdtEndPr/>
        <w:sdtContent>
          <w:r>
            <w:rPr>
              <w:rFonts w:ascii="David" w:hAnsi="David"/>
              <w:noProof w:val="0"/>
              <w:rtl/>
            </w:rPr>
            <w:t>06 פברואר 2022</w:t>
          </w:r>
        </w:sdtContent>
      </w:sdt>
      <w:r>
        <w:rPr>
          <w:rFonts w:ascii="David" w:hAnsi="David"/>
          <w:noProof w:val="0"/>
          <w:rtl/>
        </w:rPr>
        <w:t>, בהעדר הצדדים.</w:t>
      </w:r>
    </w:p>
    <w:p w:rsidR="006B2493" w:rsidRDefault="006B2493" w:rsidP="006B2493">
      <w:pPr>
        <w:spacing w:line="360" w:lineRule="auto"/>
        <w:jc w:val="both"/>
        <w:rPr>
          <w:rFonts w:ascii="David" w:hAnsi="David"/>
          <w:noProof w:val="0"/>
          <w:rtl/>
        </w:rPr>
      </w:pPr>
    </w:p>
    <w:p w:rsidR="006B2493" w:rsidRDefault="00CF3E78" w:rsidP="006B2493">
      <w:pPr>
        <w:spacing w:line="360" w:lineRule="auto"/>
        <w:ind w:left="2520"/>
        <w:jc w:val="center"/>
        <w:rPr>
          <w:rtl/>
        </w:rPr>
      </w:pPr>
      <w:sdt>
        <w:sdtPr>
          <w:rPr>
            <w:rtl/>
          </w:rPr>
          <w:alias w:val="MergeField"/>
          <w:tag w:val="1237"/>
          <w:id w:val="622280673"/>
        </w:sdtPr>
        <w:sdtEndPr/>
        <w:sdtContent>
          <w:r w:rsidR="006B2493">
            <w:drawing>
              <wp:inline distT="0" distB="0" distL="0" distR="0" wp14:anchorId="3D5340E9" wp14:editId="3DEDF520">
                <wp:extent cx="1669415" cy="510540"/>
                <wp:effectExtent l="0" t="0" r="6985" b="381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69415" cy="510540"/>
                        </a:xfrm>
                        <a:prstGeom prst="rect">
                          <a:avLst/>
                        </a:prstGeom>
                        <a:noFill/>
                        <a:ln>
                          <a:noFill/>
                        </a:ln>
                      </pic:spPr>
                    </pic:pic>
                  </a:graphicData>
                </a:graphic>
              </wp:inline>
            </w:drawing>
          </w:r>
        </w:sdtContent>
      </w:sdt>
    </w:p>
    <w:p w:rsidR="006B2493" w:rsidRDefault="006B2493" w:rsidP="006B2493">
      <w:pPr>
        <w:spacing w:line="360" w:lineRule="auto"/>
        <w:ind w:left="2520"/>
        <w:jc w:val="center"/>
        <w:rPr>
          <w:rFonts w:ascii="David" w:hAnsi="David"/>
          <w:noProof w:val="0"/>
        </w:rPr>
      </w:pPr>
    </w:p>
    <w:p w:rsidR="006B2493" w:rsidRDefault="006B2493" w:rsidP="006B2493">
      <w:pPr>
        <w:spacing w:line="360" w:lineRule="auto"/>
        <w:jc w:val="both"/>
        <w:rPr>
          <w:rFonts w:ascii="David" w:hAnsi="David"/>
          <w:noProof w:val="0"/>
          <w:rtl/>
        </w:rPr>
      </w:pPr>
    </w:p>
    <w:p w:rsidR="006B2493" w:rsidRDefault="006B2493" w:rsidP="006B2493"/>
    <w:p w:rsidR="00F5042A" w:rsidRDefault="00F5042A"/>
    <w:sectPr w:rsidR="00F5042A" w:rsidSect="000C5A7A">
      <w:headerReference w:type="default" r:id="rId2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E78" w:rsidRDefault="00CF3E78" w:rsidP="006B1227">
      <w:r>
        <w:separator/>
      </w:r>
    </w:p>
  </w:endnote>
  <w:endnote w:type="continuationSeparator" w:id="0">
    <w:p w:rsidR="00CF3E78" w:rsidRDefault="00CF3E78" w:rsidP="006B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E78" w:rsidRDefault="00CF3E78" w:rsidP="006B1227">
      <w:r>
        <w:separator/>
      </w:r>
    </w:p>
  </w:footnote>
  <w:footnote w:type="continuationSeparator" w:id="0">
    <w:p w:rsidR="00CF3E78" w:rsidRDefault="00CF3E78" w:rsidP="006B1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91638180"/>
      <w:docPartObj>
        <w:docPartGallery w:val="Page Numbers (Top of Page)"/>
        <w:docPartUnique/>
      </w:docPartObj>
    </w:sdtPr>
    <w:sdtEndPr>
      <w:rPr>
        <w:cs/>
      </w:rPr>
    </w:sdtEndPr>
    <w:sdtContent>
      <w:p w:rsidR="006B1227" w:rsidRDefault="006B1227">
        <w:pPr>
          <w:pStyle w:val="a7"/>
          <w:jc w:val="center"/>
          <w:rPr>
            <w:rtl/>
            <w:cs/>
          </w:rPr>
        </w:pPr>
        <w:r>
          <w:fldChar w:fldCharType="begin"/>
        </w:r>
        <w:r>
          <w:rPr>
            <w:rtl/>
            <w:cs/>
          </w:rPr>
          <w:instrText xml:space="preserve">PAGE   </w:instrText>
        </w:r>
        <w:r>
          <w:rPr>
            <w:cs/>
          </w:rPr>
          <w:instrText>\</w:instrText>
        </w:r>
        <w:r>
          <w:rPr>
            <w:rtl/>
            <w:cs/>
          </w:rPr>
          <w:instrText xml:space="preserve">* </w:instrText>
        </w:r>
        <w:r>
          <w:rPr>
            <w:cs/>
          </w:rPr>
          <w:instrText>MERGEFORMAT</w:instrText>
        </w:r>
        <w:r>
          <w:fldChar w:fldCharType="separate"/>
        </w:r>
        <w:r w:rsidR="00592168" w:rsidRPr="00592168">
          <w:rPr>
            <w:rtl/>
            <w:lang w:val="he-IL"/>
          </w:rPr>
          <w:t>1</w:t>
        </w:r>
        <w:r>
          <w:fldChar w:fldCharType="end"/>
        </w:r>
      </w:p>
    </w:sdtContent>
  </w:sdt>
  <w:p w:rsidR="006B1227" w:rsidRDefault="006B122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44F09"/>
    <w:multiLevelType w:val="hybridMultilevel"/>
    <w:tmpl w:val="82C0A3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496037AF"/>
    <w:multiLevelType w:val="hybridMultilevel"/>
    <w:tmpl w:val="A61E5C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5E3"/>
    <w:rsid w:val="000C5A7A"/>
    <w:rsid w:val="00116DF3"/>
    <w:rsid w:val="00592168"/>
    <w:rsid w:val="006B1227"/>
    <w:rsid w:val="006B2493"/>
    <w:rsid w:val="007565E3"/>
    <w:rsid w:val="00B30705"/>
    <w:rsid w:val="00CF3E78"/>
    <w:rsid w:val="00F504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3E91EE-BD0D-48CB-BBFC-BDD24A1A6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49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semiHidden/>
    <w:unhideWhenUsed/>
    <w:rsid w:val="006B2493"/>
    <w:rPr>
      <w:color w:val="0000FF"/>
      <w:u w:val="single"/>
    </w:rPr>
  </w:style>
  <w:style w:type="paragraph" w:styleId="a3">
    <w:name w:val="Body Text"/>
    <w:basedOn w:val="a"/>
    <w:link w:val="a4"/>
    <w:uiPriority w:val="99"/>
    <w:semiHidden/>
    <w:unhideWhenUsed/>
    <w:rsid w:val="006B2493"/>
    <w:pPr>
      <w:bidi w:val="0"/>
      <w:spacing w:before="100" w:beforeAutospacing="1" w:after="100" w:afterAutospacing="1"/>
    </w:pPr>
    <w:rPr>
      <w:rFonts w:cs="Times New Roman"/>
      <w:noProof w:val="0"/>
    </w:rPr>
  </w:style>
  <w:style w:type="character" w:customStyle="1" w:styleId="a4">
    <w:name w:val="גוף טקסט תו"/>
    <w:basedOn w:val="a0"/>
    <w:link w:val="a3"/>
    <w:uiPriority w:val="99"/>
    <w:semiHidden/>
    <w:rsid w:val="006B2493"/>
    <w:rPr>
      <w:rFonts w:ascii="Times New Roman" w:eastAsia="Times New Roman" w:hAnsi="Times New Roman" w:cs="Times New Roman"/>
      <w:sz w:val="24"/>
      <w:szCs w:val="24"/>
    </w:rPr>
  </w:style>
  <w:style w:type="paragraph" w:styleId="a5">
    <w:name w:val="List Paragraph"/>
    <w:basedOn w:val="a"/>
    <w:uiPriority w:val="99"/>
    <w:qFormat/>
    <w:rsid w:val="006B2493"/>
    <w:pPr>
      <w:ind w:left="720"/>
      <w:contextualSpacing/>
    </w:pPr>
  </w:style>
  <w:style w:type="table" w:styleId="a6">
    <w:name w:val="Table Grid"/>
    <w:basedOn w:val="a1"/>
    <w:rsid w:val="006B249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B2493"/>
    <w:pPr>
      <w:tabs>
        <w:tab w:val="center" w:pos="4153"/>
        <w:tab w:val="right" w:pos="8306"/>
      </w:tabs>
    </w:pPr>
  </w:style>
  <w:style w:type="character" w:customStyle="1" w:styleId="a8">
    <w:name w:val="כותרת עליונה תו"/>
    <w:basedOn w:val="a0"/>
    <w:link w:val="a7"/>
    <w:uiPriority w:val="99"/>
    <w:rsid w:val="006B2493"/>
    <w:rPr>
      <w:rFonts w:ascii="Times New Roman" w:eastAsia="Times New Roman" w:hAnsi="Times New Roman" w:cs="David"/>
      <w:noProof/>
      <w:sz w:val="24"/>
      <w:szCs w:val="24"/>
    </w:rPr>
  </w:style>
  <w:style w:type="paragraph" w:styleId="a9">
    <w:name w:val="footer"/>
    <w:basedOn w:val="a"/>
    <w:link w:val="aa"/>
    <w:uiPriority w:val="99"/>
    <w:unhideWhenUsed/>
    <w:rsid w:val="006B1227"/>
    <w:pPr>
      <w:tabs>
        <w:tab w:val="center" w:pos="4153"/>
        <w:tab w:val="right" w:pos="8306"/>
      </w:tabs>
    </w:pPr>
  </w:style>
  <w:style w:type="character" w:customStyle="1" w:styleId="aa">
    <w:name w:val="כותרת תחתונה תו"/>
    <w:basedOn w:val="a0"/>
    <w:link w:val="a9"/>
    <w:uiPriority w:val="99"/>
    <w:rsid w:val="006B1227"/>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3015/36" TargetMode="External"/><Relationship Id="rId13" Type="http://schemas.openxmlformats.org/officeDocument/2006/relationships/hyperlink" Target="http://www.nevo.co.il/case/6096142" TargetMode="External"/><Relationship Id="rId18" Type="http://schemas.openxmlformats.org/officeDocument/2006/relationships/hyperlink" Target="http://www.nevo.co.il/case/225713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nevo.co.il/case/6092156" TargetMode="External"/><Relationship Id="rId17" Type="http://schemas.openxmlformats.org/officeDocument/2006/relationships/hyperlink" Target="http://www.nevo.co.il/case/2292069" TargetMode="External"/><Relationship Id="rId2" Type="http://schemas.openxmlformats.org/officeDocument/2006/relationships/styles" Target="styles.xml"/><Relationship Id="rId16" Type="http://schemas.openxmlformats.org/officeDocument/2006/relationships/hyperlink" Target="http://www.nevo.co.il/case/2278404"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17937264" TargetMode="External"/><Relationship Id="rId5" Type="http://schemas.openxmlformats.org/officeDocument/2006/relationships/footnotes" Target="footnotes.xml"/><Relationship Id="rId15" Type="http://schemas.openxmlformats.org/officeDocument/2006/relationships/hyperlink" Target="http://www.nevo.co.il/case/2258225" TargetMode="External"/><Relationship Id="rId10" Type="http://schemas.openxmlformats.org/officeDocument/2006/relationships/hyperlink" Target="http://www.nevo.co.il/case/17913067"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nevo.co.il/law/73015" TargetMode="External"/><Relationship Id="rId14" Type="http://schemas.openxmlformats.org/officeDocument/2006/relationships/hyperlink" Target="http://www.nevo.co.il/case/5745655" TargetMode="External"/><Relationship Id="rId22"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4485</Words>
  <Characters>22430</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דבירי-רוזנבלט</dc:creator>
  <cp:keywords/>
  <dc:description/>
  <cp:lastModifiedBy>רותם כהן</cp:lastModifiedBy>
  <cp:revision>2</cp:revision>
  <dcterms:created xsi:type="dcterms:W3CDTF">2024-12-12T07:42:00Z</dcterms:created>
  <dcterms:modified xsi:type="dcterms:W3CDTF">2024-12-12T07:42:00Z</dcterms:modified>
</cp:coreProperties>
</file>